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656" w:rsidRDefault="00F44656"/>
    <w:p w:rsidR="00F44656" w:rsidRDefault="00F44656"/>
    <w:p w:rsidR="00F44656" w:rsidRDefault="00F44656"/>
    <w:p w:rsidR="00F44656" w:rsidRDefault="00F44656"/>
    <w:p w:rsidR="00F44656" w:rsidRDefault="00F44656">
      <w:pPr>
        <w:spacing w:line="360" w:lineRule="auto"/>
        <w:jc w:val="center"/>
        <w:rPr>
          <w:b/>
          <w:sz w:val="24"/>
        </w:rPr>
      </w:pPr>
      <w:r>
        <w:rPr>
          <w:b/>
          <w:sz w:val="24"/>
        </w:rPr>
        <w:t>Učebnice přírodopisu a jejich obtížnost</w:t>
      </w:r>
    </w:p>
    <w:p w:rsidR="00DF457C" w:rsidRDefault="00DF457C" w:rsidP="00DF457C">
      <w:pPr>
        <w:jc w:val="center"/>
        <w:rPr>
          <w:sz w:val="24"/>
        </w:rPr>
      </w:pPr>
    </w:p>
    <w:p w:rsidR="00DF457C" w:rsidRDefault="00DF457C" w:rsidP="00DF457C">
      <w:pPr>
        <w:jc w:val="center"/>
        <w:rPr>
          <w:sz w:val="24"/>
        </w:rPr>
      </w:pPr>
      <w:r>
        <w:rPr>
          <w:sz w:val="24"/>
        </w:rPr>
        <w:t>Jana Nováková</w:t>
      </w:r>
    </w:p>
    <w:p w:rsidR="00DF457C" w:rsidRDefault="00DF457C">
      <w:pPr>
        <w:rPr>
          <w:b/>
          <w:sz w:val="24"/>
        </w:rPr>
      </w:pPr>
    </w:p>
    <w:p w:rsidR="00F44656" w:rsidRDefault="00F44656">
      <w:pPr>
        <w:spacing w:line="360" w:lineRule="auto"/>
        <w:rPr>
          <w:b/>
          <w:sz w:val="24"/>
        </w:rPr>
      </w:pPr>
      <w:r>
        <w:rPr>
          <w:b/>
          <w:sz w:val="24"/>
        </w:rPr>
        <w:t>Abstrakt</w:t>
      </w:r>
    </w:p>
    <w:p w:rsidR="00F44656" w:rsidRDefault="00F44656">
      <w:pPr>
        <w:spacing w:line="360" w:lineRule="auto"/>
        <w:rPr>
          <w:sz w:val="24"/>
        </w:rPr>
      </w:pPr>
      <w:r>
        <w:rPr>
          <w:sz w:val="24"/>
        </w:rPr>
        <w:t xml:space="preserve">   V článku jsou obsaženy poznatky o hodnocení náročnosti výkladových textů šesti současných českých učebnic přírodopisu pro 6. ročník základních škol. Analýzy textů byly provedeny vlastním postupem. Z dosažených výsledků vyplývá, že nejnižší obtížností se vyznačuje učebnice nakladatelství SCIENTIA (28,91 bodu). Náročnost dalších čtyř učebnic není o mnoho vyšší, rozdíl dosahuje maximálně 3 body. Naproti tomu učebnice nakladatelství PRODOS se vyznačuje vysokou obtížností (38,69 bodu).</w:t>
      </w:r>
    </w:p>
    <w:p w:rsidR="00F44656" w:rsidRDefault="00F44656">
      <w:pPr>
        <w:spacing w:line="360" w:lineRule="auto"/>
        <w:rPr>
          <w:sz w:val="24"/>
        </w:rPr>
      </w:pPr>
      <w:r>
        <w:rPr>
          <w:sz w:val="24"/>
        </w:rPr>
        <w:t>Z uskutečněných analýz textů je zřejmé, že pro výuku žáků s průměrným nadáním je vhodné používat učebnici nakladatelství SCIENTIA nebo i dalších čtyř, avšak učebnice nakladatelství PRODOS je vhodná pro výuku na víceletých gymnáziích.</w:t>
      </w:r>
    </w:p>
    <w:p w:rsidR="00F44656" w:rsidRDefault="00F44656">
      <w:pPr>
        <w:spacing w:line="360" w:lineRule="auto"/>
        <w:rPr>
          <w:b/>
          <w:sz w:val="24"/>
        </w:rPr>
      </w:pPr>
      <w:r>
        <w:rPr>
          <w:b/>
          <w:sz w:val="24"/>
        </w:rPr>
        <w:t>Klíčová slova</w:t>
      </w:r>
    </w:p>
    <w:p w:rsidR="00F44656" w:rsidRDefault="00F44656">
      <w:pPr>
        <w:spacing w:line="360" w:lineRule="auto"/>
        <w:rPr>
          <w:sz w:val="24"/>
        </w:rPr>
      </w:pPr>
      <w:r>
        <w:rPr>
          <w:sz w:val="24"/>
        </w:rPr>
        <w:t xml:space="preserve">   Učebnice přírodopisu, celková obtížnost textů, syntaktický faktor, sémantický faktor, metoda hodnocení.</w:t>
      </w:r>
    </w:p>
    <w:p w:rsidR="00F44656" w:rsidRDefault="00F44656">
      <w:pPr>
        <w:spacing w:line="360" w:lineRule="auto"/>
        <w:rPr>
          <w:sz w:val="24"/>
        </w:rPr>
      </w:pPr>
    </w:p>
    <w:p w:rsidR="00F44656" w:rsidRDefault="00F44656">
      <w:pPr>
        <w:spacing w:line="360" w:lineRule="auto"/>
        <w:rPr>
          <w:b/>
          <w:sz w:val="24"/>
        </w:rPr>
      </w:pPr>
      <w:r>
        <w:rPr>
          <w:b/>
          <w:sz w:val="24"/>
        </w:rPr>
        <w:t>Úvod</w:t>
      </w:r>
    </w:p>
    <w:p w:rsidR="00F44656" w:rsidRDefault="00F44656">
      <w:pPr>
        <w:spacing w:line="360" w:lineRule="auto"/>
        <w:rPr>
          <w:sz w:val="24"/>
        </w:rPr>
      </w:pPr>
      <w:r>
        <w:rPr>
          <w:sz w:val="24"/>
        </w:rPr>
        <w:t xml:space="preserve">   Učebnice patří k nejstarším produktům lidské kultury, ale zůstávají i nadále jednou z nejdůležitějších pomůcek při výuce přírodopisu, ačkoliv se jejich podoba mění. Nejčastěji se používají různé alternativní učebnice, avšak současná doba nese s sebou rozvoj počítačové techniky a proto se vytváří také elektronická podoba učebnic. Klasicky ztvárněná učebnice přírodopisu, která obsahuje část textovou a část grafickou, je stále nejpoužívanější. Tato knižní forma je také nejdostupnější. Lze ji zakoupit v kterémkoliv koutu naší republiky. Tyto učebnice mají zahrnovat učivo, které je předepsáno současnými osnovami. Existují však</w:t>
      </w:r>
      <w:r w:rsidR="00C00095">
        <w:rPr>
          <w:sz w:val="24"/>
        </w:rPr>
        <w:t xml:space="preserve"> velké rozdíly v názvech te</w:t>
      </w:r>
      <w:r>
        <w:rPr>
          <w:sz w:val="24"/>
        </w:rPr>
        <w:t>matických celků u různých učebnic v porovnání s platnými osnovami.</w:t>
      </w:r>
      <w:r w:rsidR="00CD3A97">
        <w:rPr>
          <w:rStyle w:val="Znakapoznpodarou"/>
          <w:sz w:val="24"/>
        </w:rPr>
        <w:footnoteReference w:id="1"/>
      </w:r>
      <w:r>
        <w:rPr>
          <w:sz w:val="24"/>
        </w:rPr>
        <w:t xml:space="preserve"> Rozsah grafické části a struktura se liší. V učebnicích nižších ročníků převládá plošně grafická informace nad textem, který by měl odpovídat psychické úrovni žáků. Věty nemají být příliš dlouhé - v učebnicích pro žáky ve věku 13 let nemají přesahovat jedenáct slov. Rovněž pojmová zatíženost má odpovídat věkové kategorii žáků. V zásadě je dobře </w:t>
      </w:r>
      <w:r>
        <w:rPr>
          <w:sz w:val="24"/>
        </w:rPr>
        <w:lastRenderedPageBreak/>
        <w:t>zpracovaná školní učebnice velmi důmyslným médiem s bohatě členěnou strukturou. Každá učebnice je především souborem informací, ale také didaktickým prostředkem, který řídí jak žákovo učení, tak učitelovo vyučování, a také plní funkci organizační. Na tvorbě učebnic se podílí autorský tým s různým profesním složením. Tvorba učebnic probíhá na základě vypracované koncepce, která má složku obsahovou, strukturní, didaktickou a vydavatelskou. Připravené učebnice je nutné různým způsobem analyzovat. Pro tyto účely byly v zahraničí i u nás vypracovány různé metody.</w:t>
      </w:r>
    </w:p>
    <w:p w:rsidR="00F44656" w:rsidRDefault="00F44656">
      <w:pPr>
        <w:spacing w:line="360" w:lineRule="auto"/>
        <w:rPr>
          <w:sz w:val="24"/>
        </w:rPr>
      </w:pPr>
      <w:r>
        <w:rPr>
          <w:sz w:val="24"/>
        </w:rPr>
        <w:t xml:space="preserve">   V České republice se obtížnost výkladového textu učebnic nejčastěji hodnotí metodou dle </w:t>
      </w:r>
      <w:r>
        <w:rPr>
          <w:caps/>
          <w:sz w:val="24"/>
        </w:rPr>
        <w:t>průchy</w:t>
      </w:r>
      <w:r>
        <w:rPr>
          <w:sz w:val="24"/>
        </w:rPr>
        <w:t xml:space="preserve"> (1984) nebo postupem, který vytvořili </w:t>
      </w:r>
      <w:r>
        <w:rPr>
          <w:caps/>
          <w:sz w:val="24"/>
        </w:rPr>
        <w:t>nestler</w:t>
      </w:r>
      <w:r>
        <w:rPr>
          <w:sz w:val="24"/>
        </w:rPr>
        <w:t>-</w:t>
      </w:r>
      <w:r>
        <w:rPr>
          <w:caps/>
          <w:sz w:val="24"/>
        </w:rPr>
        <w:t>průcha</w:t>
      </w:r>
      <w:r>
        <w:rPr>
          <w:sz w:val="24"/>
        </w:rPr>
        <w:t>-</w:t>
      </w:r>
      <w:r>
        <w:rPr>
          <w:caps/>
          <w:sz w:val="24"/>
        </w:rPr>
        <w:t xml:space="preserve">pluskal </w:t>
      </w:r>
      <w:r>
        <w:rPr>
          <w:sz w:val="24"/>
        </w:rPr>
        <w:t xml:space="preserve">(in </w:t>
      </w:r>
      <w:r>
        <w:rPr>
          <w:caps/>
          <w:sz w:val="24"/>
        </w:rPr>
        <w:t>průcha</w:t>
      </w:r>
      <w:r>
        <w:rPr>
          <w:sz w:val="24"/>
        </w:rPr>
        <w:t>, 1997). Mnohé naše i zahraniční učebnice geografie byly analyzovány postupem, který vytvořil PLUSKAL (</w:t>
      </w:r>
      <w:r w:rsidR="0033304B">
        <w:rPr>
          <w:sz w:val="24"/>
        </w:rPr>
        <w:t xml:space="preserve"> </w:t>
      </w:r>
      <w:proofErr w:type="gramStart"/>
      <w:r>
        <w:rPr>
          <w:sz w:val="24"/>
        </w:rPr>
        <w:t>1997</w:t>
      </w:r>
      <w:r w:rsidR="0033304B">
        <w:rPr>
          <w:sz w:val="24"/>
        </w:rPr>
        <w:t xml:space="preserve"> </w:t>
      </w:r>
      <w:r>
        <w:rPr>
          <w:sz w:val="24"/>
        </w:rPr>
        <w:t>).</w:t>
      </w:r>
      <w:proofErr w:type="gramEnd"/>
    </w:p>
    <w:p w:rsidR="00F44656" w:rsidRDefault="00F44656">
      <w:pPr>
        <w:spacing w:line="360" w:lineRule="auto"/>
        <w:rPr>
          <w:sz w:val="24"/>
        </w:rPr>
      </w:pPr>
      <w:r>
        <w:rPr>
          <w:sz w:val="24"/>
        </w:rPr>
        <w:t xml:space="preserve">   Vzhledem k tomu, že jsem dosud hodnotila obtížnost výkladových textů našich učebnic přírodopisu těmito třemi postupy, bylo cílem mé další práce vytvořit inovaci v hodnocení učebnic a využít ji nejprve při analýze učebnic přírodopisu pro 6. ročník ZŠ, což  je obsaženo v tomto příspěvku.</w:t>
      </w:r>
    </w:p>
    <w:p w:rsidR="00F44656" w:rsidRDefault="00F44656">
      <w:pPr>
        <w:spacing w:line="360" w:lineRule="auto"/>
        <w:rPr>
          <w:b/>
          <w:sz w:val="24"/>
        </w:rPr>
      </w:pPr>
      <w:r>
        <w:rPr>
          <w:b/>
          <w:sz w:val="24"/>
        </w:rPr>
        <w:t>Materiál a metody</w:t>
      </w:r>
    </w:p>
    <w:p w:rsidR="00F44656" w:rsidRDefault="00A01CC1">
      <w:pPr>
        <w:spacing w:line="360" w:lineRule="auto"/>
      </w:pPr>
      <w:r>
        <w:rPr>
          <w:sz w:val="24"/>
        </w:rPr>
        <w:t xml:space="preserve">   K posouzení </w:t>
      </w:r>
      <w:r w:rsidR="00F44656">
        <w:rPr>
          <w:sz w:val="24"/>
        </w:rPr>
        <w:t>obtížnosti výkladových textů našich učebnic přírodopisu  pro 6. ročník základních škol bylo použito stejných učebnic jako při jejich hodnocení pomocí tří předchozích po</w:t>
      </w:r>
      <w:bookmarkStart w:id="0" w:name="_GoBack"/>
      <w:bookmarkEnd w:id="0"/>
      <w:r w:rsidR="00F44656">
        <w:rPr>
          <w:sz w:val="24"/>
        </w:rPr>
        <w:t>stupů. Jsou to učebnice nakladatelství FORTUNA (1997), JINAN (2000), NOVÁ ŠKOLA (1998), PRODOS (1999), SCIENTIA (</w:t>
      </w:r>
      <w:r w:rsidR="0033304B">
        <w:rPr>
          <w:sz w:val="24"/>
        </w:rPr>
        <w:t xml:space="preserve"> </w:t>
      </w:r>
      <w:r w:rsidR="00F44656">
        <w:rPr>
          <w:sz w:val="24"/>
        </w:rPr>
        <w:t>1997) a SPN (</w:t>
      </w:r>
      <w:proofErr w:type="gramStart"/>
      <w:r w:rsidR="00F44656">
        <w:rPr>
          <w:sz w:val="24"/>
        </w:rPr>
        <w:t>1999</w:t>
      </w:r>
      <w:r w:rsidR="0033304B">
        <w:rPr>
          <w:sz w:val="24"/>
        </w:rPr>
        <w:t xml:space="preserve"> </w:t>
      </w:r>
      <w:r w:rsidR="00F44656">
        <w:rPr>
          <w:sz w:val="24"/>
        </w:rPr>
        <w:t>). Přesné</w:t>
      </w:r>
      <w:proofErr w:type="gramEnd"/>
      <w:r w:rsidR="00F44656">
        <w:rPr>
          <w:sz w:val="24"/>
        </w:rPr>
        <w:t xml:space="preserve"> citace  uvádím v kapitole Literatura. Pomocí této metody bylo zjišťováno 14 charakteristik míry obtížnosti, mezi něž patří  koeficienty hustoty odborné informace </w:t>
      </w:r>
      <w:r w:rsidR="009B39D7">
        <w:rPr>
          <w:sz w:val="24"/>
        </w:rPr>
        <w:t>"</w:t>
      </w:r>
      <w:r w:rsidR="00F44656">
        <w:rPr>
          <w:sz w:val="24"/>
        </w:rPr>
        <w:t>i</w:t>
      </w:r>
      <w:r w:rsidR="009B39D7">
        <w:rPr>
          <w:sz w:val="24"/>
        </w:rPr>
        <w:t>"</w:t>
      </w:r>
      <w:r w:rsidR="00F44656">
        <w:rPr>
          <w:sz w:val="24"/>
        </w:rPr>
        <w:t xml:space="preserve"> a </w:t>
      </w:r>
      <w:r w:rsidR="009B39D7">
        <w:rPr>
          <w:sz w:val="24"/>
        </w:rPr>
        <w:t>"</w:t>
      </w:r>
      <w:r w:rsidR="0033304B">
        <w:rPr>
          <w:sz w:val="24"/>
        </w:rPr>
        <w:t xml:space="preserve"> </w:t>
      </w:r>
      <w:r w:rsidR="00F44656">
        <w:rPr>
          <w:sz w:val="24"/>
        </w:rPr>
        <w:t>h</w:t>
      </w:r>
      <w:r w:rsidR="009B39D7">
        <w:rPr>
          <w:sz w:val="24"/>
        </w:rPr>
        <w:t>"</w:t>
      </w:r>
      <w:r w:rsidR="00F44656">
        <w:rPr>
          <w:sz w:val="24"/>
        </w:rPr>
        <w:t xml:space="preserve">, a také </w:t>
      </w:r>
      <w:r w:rsidR="009B39D7">
        <w:rPr>
          <w:sz w:val="24"/>
        </w:rPr>
        <w:t>koeficient opakovaných pojmů "o"</w:t>
      </w:r>
      <w:r w:rsidR="00F44656">
        <w:rPr>
          <w:sz w:val="24"/>
        </w:rPr>
        <w:t xml:space="preserve">. Z každé učebnice bylo vybráno a analyzováno 10 vzorků souvislého textu po nejméně 100 slovech (ΣN). </w:t>
      </w:r>
      <w:r w:rsidR="00291691">
        <w:rPr>
          <w:sz w:val="24"/>
        </w:rPr>
        <w:t xml:space="preserve">Učebnice mají po řadě tyto počty slov: 12 827, 9 274, 8 834, 11 987, 12 954 a 12 358. </w:t>
      </w:r>
      <w:r w:rsidR="00F44656">
        <w:rPr>
          <w:sz w:val="24"/>
        </w:rPr>
        <w:t>Jednotlivé zdroje obtížnosti, jejich symboly, definice a způsoby výpočtů jsou následně uvedeny:</w:t>
      </w:r>
    </w:p>
    <w:p w:rsidR="00F44656" w:rsidRDefault="00355E99">
      <w:pPr>
        <w:pStyle w:val="Normlnweb"/>
        <w:spacing w:line="360" w:lineRule="auto"/>
      </w:pPr>
      <w:r>
        <w:t>T -</w:t>
      </w:r>
      <w:r w:rsidR="00F44656">
        <w:t xml:space="preserve"> celková obtížnost výkladového textu; T = </w:t>
      </w:r>
      <w:proofErr w:type="spellStart"/>
      <w:r w:rsidR="00F44656">
        <w:t>T</w:t>
      </w:r>
      <w:r w:rsidR="00F44656">
        <w:rPr>
          <w:vertAlign w:val="subscript"/>
        </w:rPr>
        <w:t>s</w:t>
      </w:r>
      <w:proofErr w:type="spellEnd"/>
      <w:r w:rsidR="00F44656">
        <w:t xml:space="preserve"> + </w:t>
      </w:r>
      <w:proofErr w:type="spellStart"/>
      <w:r w:rsidR="00F44656">
        <w:t>T</w:t>
      </w:r>
      <w:r w:rsidR="00F44656">
        <w:rPr>
          <w:vertAlign w:val="subscript"/>
        </w:rPr>
        <w:t>p</w:t>
      </w:r>
      <w:proofErr w:type="spellEnd"/>
      <w:r w:rsidR="00F44656">
        <w:t xml:space="preserve"> (body),</w:t>
      </w:r>
    </w:p>
    <w:p w:rsidR="00F44656" w:rsidRDefault="00F44656">
      <w:pPr>
        <w:pStyle w:val="Normlnweb"/>
        <w:spacing w:line="360" w:lineRule="auto"/>
      </w:pPr>
      <w:proofErr w:type="spellStart"/>
      <w:r>
        <w:t>T</w:t>
      </w:r>
      <w:r>
        <w:rPr>
          <w:vertAlign w:val="subscript"/>
        </w:rPr>
        <w:t>s</w:t>
      </w:r>
      <w:proofErr w:type="spellEnd"/>
      <w:r>
        <w:t xml:space="preserve"> </w:t>
      </w:r>
      <w:r w:rsidR="00355E99">
        <w:t>-</w:t>
      </w:r>
      <w:r>
        <w:t xml:space="preserve"> stupeň syntaktické obtížnosti textu (syntaktický faktor);</w:t>
      </w:r>
      <m:oMath>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s</m:t>
            </m:r>
          </m:sub>
        </m:sSub>
        <m:r>
          <w:rPr>
            <w:rFonts w:ascii="Cambria Math" w:hAnsi="Cambria Math"/>
          </w:rPr>
          <m:t>=</m:t>
        </m:r>
        <m:r>
          <m:rPr>
            <m:sty m:val="p"/>
          </m:rPr>
          <w:rPr>
            <w:rFonts w:ascii="Cambria Math" w:hAnsi="Cambria Math"/>
          </w:rPr>
          <m:t>0,1</m:t>
        </m:r>
        <m:r>
          <w:rPr>
            <w:rFonts w:ascii="Cambria Math" w:hAnsi="Cambria Math"/>
          </w:rPr>
          <m:t>×</m:t>
        </m:r>
        <m:acc>
          <m:accPr>
            <m:chr m:val="̅"/>
            <m:ctrlPr>
              <w:rPr>
                <w:rFonts w:ascii="Cambria Math" w:hAnsi="Cambria Math"/>
              </w:rPr>
            </m:ctrlPr>
          </m:accPr>
          <m:e>
            <m:r>
              <w:rPr>
                <w:rFonts w:ascii="Cambria Math" w:hAnsi="Cambria Math"/>
              </w:rPr>
              <m:t>V</m:t>
            </m:r>
          </m:e>
        </m:acc>
        <m:r>
          <w:rPr>
            <w:rFonts w:ascii="Cambria Math" w:hAnsi="Cambria Math"/>
          </w:rPr>
          <m:t>×</m:t>
        </m:r>
        <m:acc>
          <m:accPr>
            <m:chr m:val="̅"/>
            <m:ctrlPr>
              <w:rPr>
                <w:rFonts w:ascii="Cambria Math" w:hAnsi="Cambria Math"/>
              </w:rPr>
            </m:ctrlPr>
          </m:accPr>
          <m:e>
            <m:r>
              <w:rPr>
                <w:rFonts w:ascii="Cambria Math" w:hAnsi="Cambria Math"/>
              </w:rPr>
              <m:t>U</m:t>
            </m:r>
          </m:e>
        </m:acc>
      </m:oMath>
      <w:r>
        <w:t xml:space="preserve"> (body),</w:t>
      </w:r>
    </w:p>
    <w:p w:rsidR="00F44656" w:rsidRDefault="00C930BF">
      <w:pPr>
        <w:pStyle w:val="Normlnweb"/>
        <w:spacing w:line="360" w:lineRule="auto"/>
        <w:outlineLvl w:val="0"/>
      </w:pPr>
      <m:oMath>
        <m:acc>
          <m:accPr>
            <m:chr m:val="̅"/>
            <m:ctrlPr>
              <w:rPr>
                <w:rFonts w:ascii="Cambria Math" w:hAnsi="Cambria Math"/>
              </w:rPr>
            </m:ctrlPr>
          </m:accPr>
          <m:e>
            <m:r>
              <w:rPr>
                <w:rFonts w:ascii="Cambria Math" w:hAnsi="Cambria Math"/>
              </w:rPr>
              <m:t>V</m:t>
            </m:r>
          </m:e>
        </m:acc>
      </m:oMath>
      <w:r w:rsidR="00236C6E" w:rsidRPr="00236C6E">
        <w:t xml:space="preserve"> </w:t>
      </w:r>
      <w:r w:rsidR="00355E99">
        <w:t>-</w:t>
      </w:r>
      <w:r w:rsidR="00F44656">
        <w:t xml:space="preserve"> průměrná délka věty (v počtu slov),</w:t>
      </w:r>
    </w:p>
    <w:p w:rsidR="00F44656" w:rsidRDefault="00C930BF">
      <w:pPr>
        <w:pStyle w:val="Normlnweb"/>
        <w:spacing w:line="360" w:lineRule="auto"/>
      </w:pPr>
      <m:oMath>
        <m:acc>
          <m:accPr>
            <m:chr m:val="̅"/>
            <m:ctrlPr>
              <w:rPr>
                <w:rFonts w:ascii="Cambria Math" w:hAnsi="Cambria Math"/>
              </w:rPr>
            </m:ctrlPr>
          </m:accPr>
          <m:e>
            <m:r>
              <w:rPr>
                <w:rFonts w:ascii="Cambria Math" w:hAnsi="Cambria Math"/>
              </w:rPr>
              <m:t>U</m:t>
            </m:r>
          </m:e>
        </m:acc>
      </m:oMath>
      <w:r w:rsidR="00DF457C" w:rsidRPr="00DF457C">
        <w:t xml:space="preserve"> </w:t>
      </w:r>
      <w:r w:rsidR="00355E99">
        <w:t>-</w:t>
      </w:r>
      <w:r w:rsidR="00F44656">
        <w:t xml:space="preserve"> průměrná délka větných úseků (syntaktická složitost věty),</w:t>
      </w:r>
    </w:p>
    <w:p w:rsidR="00F44656" w:rsidRDefault="00F44656">
      <w:pPr>
        <w:pStyle w:val="Normlnweb"/>
        <w:spacing w:line="360" w:lineRule="auto"/>
      </w:pPr>
      <w:r>
        <w:t>T</w:t>
      </w:r>
      <w:r>
        <w:rPr>
          <w:vertAlign w:val="subscript"/>
        </w:rPr>
        <w:t>p</w:t>
      </w:r>
      <w:r>
        <w:t xml:space="preserve"> </w:t>
      </w:r>
      <w:r w:rsidR="00355E99">
        <w:t>-</w:t>
      </w:r>
      <w:r>
        <w:t>stupeň pojmové obtížnosti výkladového textu (sémantický faktor) (body),</w:t>
      </w:r>
    </w:p>
    <w:p w:rsidR="00F44656" w:rsidRDefault="00C930BF">
      <w:pPr>
        <w:spacing w:line="360" w:lineRule="auto"/>
        <w:rPr>
          <w:sz w:val="24"/>
        </w:rPr>
      </w:pPr>
      <m:oMathPara>
        <m:oMath>
          <m:sSub>
            <m:sSubPr>
              <m:ctrlPr>
                <w:rPr>
                  <w:rFonts w:ascii="Cambria Math" w:hAnsi="Cambria Math"/>
                </w:rPr>
              </m:ctrlPr>
            </m:sSubPr>
            <m:e>
              <m:r>
                <w:rPr>
                  <w:rFonts w:ascii="Cambria Math" w:hAnsi="Cambria Math"/>
                </w:rPr>
                <m:t>T</m:t>
              </m:r>
            </m:e>
            <m:sub>
              <m:r>
                <w:rPr>
                  <w:rFonts w:ascii="Cambria Math" w:hAnsi="Cambria Math"/>
                </w:rPr>
                <m:t>p</m:t>
              </m:r>
            </m:sub>
          </m:sSub>
          <m:r>
            <w:rPr>
              <w:rFonts w:ascii="Cambria Math" w:hAnsi="Cambria Math"/>
            </w:rPr>
            <m:t>=100×</m:t>
          </m:r>
          <m:f>
            <m:fPr>
              <m:ctrlPr>
                <w:rPr>
                  <w:rFonts w:ascii="Cambria Math" w:hAnsi="Cambria Math"/>
                </w:rPr>
              </m:ctrlPr>
            </m:fPr>
            <m:num>
              <m:r>
                <w:rPr>
                  <w:rFonts w:ascii="Cambria Math" w:hAnsi="Cambria Math"/>
                </w:rPr>
                <m:t>∑P</m:t>
              </m:r>
            </m:num>
            <m:den>
              <m:r>
                <w:rPr>
                  <w:rFonts w:ascii="Cambria Math" w:hAnsi="Cambria Math"/>
                </w:rPr>
                <m:t>∑N</m:t>
              </m:r>
            </m:den>
          </m:f>
          <m:r>
            <w:rPr>
              <w:rFonts w:ascii="Cambria Math" w:hAnsi="Cambria Math"/>
            </w:rPr>
            <m:t>×</m:t>
          </m:r>
          <m:f>
            <m:fPr>
              <m:ctrlPr>
                <w:rPr>
                  <w:rFonts w:ascii="Cambria Math" w:hAnsi="Cambria Math"/>
                </w:rPr>
              </m:ctrlPr>
            </m:fPr>
            <m:num>
              <m:f>
                <m:fPr>
                  <m:ctrlPr>
                    <w:rPr>
                      <w:rFonts w:ascii="Cambria Math" w:hAnsi="Cambria Math"/>
                    </w:rPr>
                  </m:ctrlPr>
                </m:fPr>
                <m:num>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1</m:t>
                      </m:r>
                    </m:sub>
                  </m:sSub>
                </m:num>
                <m:den>
                  <m:r>
                    <w:rPr>
                      <w:rFonts w:ascii="Cambria Math" w:hAnsi="Cambria Math"/>
                    </w:rPr>
                    <m:t>2</m:t>
                  </m:r>
                </m:den>
              </m:f>
              <m:r>
                <w:rPr>
                  <w:rFonts w:ascii="Cambria Math" w:hAnsi="Cambria Math"/>
                </w:rPr>
                <m:t>+2∑</m:t>
              </m:r>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4</m:t>
                  </m:r>
                </m:sub>
              </m:sSub>
            </m:num>
            <m:den>
              <m:r>
                <w:rPr>
                  <w:rFonts w:ascii="Cambria Math" w:hAnsi="Cambria Math"/>
                </w:rPr>
                <m:t>∑N</m:t>
              </m:r>
            </m:den>
          </m:f>
        </m:oMath>
      </m:oMathPara>
    </w:p>
    <w:p w:rsidR="00F44656" w:rsidRDefault="00C930BF">
      <w:pPr>
        <w:pStyle w:val="Normlnweb"/>
        <w:spacing w:line="360" w:lineRule="auto"/>
      </w:pPr>
      <m:oMath>
        <m:f>
          <m:fPr>
            <m:ctrlPr>
              <w:rPr>
                <w:rFonts w:ascii="Cambria Math" w:hAnsi="Cambria Math"/>
              </w:rPr>
            </m:ctrlPr>
          </m:fPr>
          <m:num>
            <m:r>
              <w:rPr>
                <w:rFonts w:ascii="Cambria Math" w:hAnsi="Cambria Math"/>
              </w:rPr>
              <m:t>∑U</m:t>
            </m:r>
          </m:num>
          <m:den>
            <m:r>
              <w:rPr>
                <w:rFonts w:ascii="Cambria Math" w:hAnsi="Cambria Math"/>
              </w:rPr>
              <m:t>∑N</m:t>
            </m:r>
          </m:den>
        </m:f>
        <m:r>
          <w:rPr>
            <w:rFonts w:ascii="Cambria Math" w:hAnsi="Cambria Math"/>
          </w:rPr>
          <m:t>×100</m:t>
        </m:r>
      </m:oMath>
      <w:r w:rsidR="00DF457C" w:rsidRPr="00DF457C">
        <w:t xml:space="preserve"> </w:t>
      </w:r>
      <w:r w:rsidR="00F44656">
        <w:t>- proporce sloves (%),</w:t>
      </w:r>
    </w:p>
    <w:p w:rsidR="00F44656" w:rsidRDefault="00C930BF">
      <w:pPr>
        <w:pStyle w:val="Normlnweb"/>
        <w:spacing w:line="360" w:lineRule="auto"/>
      </w:pPr>
      <m:oMath>
        <m:f>
          <m:fPr>
            <m:ctrlPr>
              <w:rPr>
                <w:rFonts w:ascii="Cambria Math" w:hAnsi="Cambria Math"/>
              </w:rPr>
            </m:ctrlPr>
          </m:fPr>
          <m:num>
            <m:r>
              <w:rPr>
                <w:rFonts w:ascii="Cambria Math" w:hAnsi="Cambria Math"/>
              </w:rPr>
              <m:t>∑P</m:t>
            </m:r>
          </m:num>
          <m:den>
            <m:r>
              <w:rPr>
                <w:rFonts w:ascii="Cambria Math" w:hAnsi="Cambria Math"/>
              </w:rPr>
              <m:t>∑N</m:t>
            </m:r>
          </m:den>
        </m:f>
        <m:r>
          <w:rPr>
            <w:rFonts w:ascii="Cambria Math" w:hAnsi="Cambria Math"/>
          </w:rPr>
          <m:t>×100</m:t>
        </m:r>
      </m:oMath>
      <w:r w:rsidR="00DF457C" w:rsidRPr="00DF457C">
        <w:t xml:space="preserve"> </w:t>
      </w:r>
      <w:r w:rsidR="00F44656">
        <w:t>- proporce substantivních pojmů (%),</w:t>
      </w:r>
    </w:p>
    <w:p w:rsidR="00F44656" w:rsidRDefault="00C930BF">
      <w:pPr>
        <w:pStyle w:val="Normlnweb"/>
        <w:spacing w:line="360" w:lineRule="auto"/>
      </w:pPr>
      <m:oMath>
        <m:f>
          <m:fPr>
            <m:ctrlPr>
              <w:rPr>
                <w:rFonts w:ascii="Cambria Math" w:hAnsi="Cambria Math"/>
              </w:rPr>
            </m:ctrlPr>
          </m:fPr>
          <m:num>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1</m:t>
                </m:r>
              </m:sub>
            </m:sSub>
          </m:num>
          <m:den>
            <m:r>
              <w:rPr>
                <w:rFonts w:ascii="Cambria Math" w:hAnsi="Cambria Math"/>
              </w:rPr>
              <m:t>∑N</m:t>
            </m:r>
          </m:den>
        </m:f>
        <m:r>
          <w:rPr>
            <w:rFonts w:ascii="Cambria Math" w:hAnsi="Cambria Math"/>
          </w:rPr>
          <m:t>×100</m:t>
        </m:r>
      </m:oMath>
      <w:r w:rsidR="00DF457C" w:rsidRPr="00DF457C">
        <w:t xml:space="preserve"> </w:t>
      </w:r>
      <w:r w:rsidR="00F44656">
        <w:t>- proporce běžných pojmů (%),</w:t>
      </w:r>
    </w:p>
    <w:p w:rsidR="00F44656" w:rsidRDefault="00C930BF">
      <w:pPr>
        <w:pStyle w:val="Normlnweb"/>
        <w:spacing w:line="360" w:lineRule="auto"/>
      </w:pPr>
      <m:oMath>
        <m:f>
          <m:fPr>
            <m:ctrlPr>
              <w:rPr>
                <w:rFonts w:ascii="Cambria Math" w:hAnsi="Cambria Math"/>
              </w:rPr>
            </m:ctrlPr>
          </m:fPr>
          <m:num>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2</m:t>
                </m:r>
              </m:sub>
            </m:sSub>
          </m:num>
          <m:den>
            <m:r>
              <w:rPr>
                <w:rFonts w:ascii="Cambria Math" w:hAnsi="Cambria Math"/>
              </w:rPr>
              <m:t>∑N</m:t>
            </m:r>
          </m:den>
        </m:f>
        <m:r>
          <w:rPr>
            <w:rFonts w:ascii="Cambria Math" w:hAnsi="Cambria Math"/>
          </w:rPr>
          <m:t>×100</m:t>
        </m:r>
      </m:oMath>
      <w:r w:rsidR="00DF457C" w:rsidRPr="00DF457C">
        <w:t xml:space="preserve"> </w:t>
      </w:r>
      <w:r w:rsidR="00F44656">
        <w:t>- proporce odborných pojmů (%),</w:t>
      </w:r>
    </w:p>
    <w:p w:rsidR="00F44656" w:rsidRDefault="00C930BF">
      <w:pPr>
        <w:pStyle w:val="Normlnweb"/>
        <w:spacing w:line="360" w:lineRule="auto"/>
      </w:pPr>
      <m:oMath>
        <m:f>
          <m:fPr>
            <m:ctrlPr>
              <w:rPr>
                <w:rFonts w:ascii="Cambria Math" w:hAnsi="Cambria Math"/>
              </w:rPr>
            </m:ctrlPr>
          </m:fPr>
          <m:num>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3</m:t>
                </m:r>
              </m:sub>
            </m:sSub>
          </m:num>
          <m:den>
            <m:r>
              <w:rPr>
                <w:rFonts w:ascii="Cambria Math" w:hAnsi="Cambria Math"/>
              </w:rPr>
              <m:t>∑N</m:t>
            </m:r>
          </m:den>
        </m:f>
        <m:r>
          <w:rPr>
            <w:rFonts w:ascii="Cambria Math" w:hAnsi="Cambria Math"/>
          </w:rPr>
          <m:t>×100</m:t>
        </m:r>
      </m:oMath>
      <w:r w:rsidR="00DF457C" w:rsidRPr="00DF457C">
        <w:t xml:space="preserve"> </w:t>
      </w:r>
      <w:r w:rsidR="00F44656">
        <w:t>- proporce faktografických a číselných pojmů (%),</w:t>
      </w:r>
    </w:p>
    <w:p w:rsidR="00F44656" w:rsidRDefault="00C930BF">
      <w:pPr>
        <w:pStyle w:val="Normlnweb"/>
        <w:spacing w:line="360" w:lineRule="auto"/>
      </w:pPr>
      <m:oMath>
        <m:f>
          <m:fPr>
            <m:ctrlPr>
              <w:rPr>
                <w:rFonts w:ascii="Cambria Math" w:hAnsi="Cambria Math"/>
              </w:rPr>
            </m:ctrlPr>
          </m:fPr>
          <m:num>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4</m:t>
                </m:r>
              </m:sub>
            </m:sSub>
          </m:num>
          <m:den>
            <m:r>
              <w:rPr>
                <w:rFonts w:ascii="Cambria Math" w:hAnsi="Cambria Math"/>
              </w:rPr>
              <m:t>∑N</m:t>
            </m:r>
          </m:den>
        </m:f>
        <m:r>
          <w:rPr>
            <w:rFonts w:ascii="Cambria Math" w:hAnsi="Cambria Math"/>
          </w:rPr>
          <m:t>×100</m:t>
        </m:r>
      </m:oMath>
      <w:r w:rsidR="00236C6E" w:rsidRPr="00236C6E">
        <w:t xml:space="preserve"> </w:t>
      </w:r>
      <w:r w:rsidR="00F44656">
        <w:t>- proporce  opakovaných údajů (%),</w:t>
      </w:r>
    </w:p>
    <w:p w:rsidR="00F44656" w:rsidRDefault="00236C6E">
      <w:pPr>
        <w:spacing w:line="360" w:lineRule="auto"/>
      </w:pPr>
      <m:oMath>
        <m:r>
          <w:rPr>
            <w:rFonts w:ascii="Cambria Math" w:hAnsi="Cambria Math"/>
            <w:sz w:val="24"/>
          </w:rPr>
          <m:t>i=100×</m:t>
        </m:r>
        <m:f>
          <m:fPr>
            <m:ctrlPr>
              <w:rPr>
                <w:rFonts w:ascii="Cambria Math" w:hAnsi="Cambria Math"/>
                <w:sz w:val="24"/>
              </w:rPr>
            </m:ctrlPr>
          </m:fPr>
          <m:num>
            <m:r>
              <w:rPr>
                <w:rFonts w:ascii="Cambria Math" w:hAnsi="Cambria Math"/>
                <w:sz w:val="24"/>
              </w:rPr>
              <m:t>∑P</m:t>
            </m:r>
            <m:sPre>
              <m:sPrePr>
                <m:ctrlPr>
                  <w:rPr>
                    <w:rFonts w:ascii="Cambria Math" w:hAnsi="Cambria Math"/>
                    <w:sz w:val="24"/>
                  </w:rPr>
                </m:ctrlPr>
              </m:sPrePr>
              <m:sub>
                <m:r>
                  <w:rPr>
                    <w:rFonts w:ascii="Cambria Math" w:hAnsi="Cambria Math"/>
                    <w:sz w:val="24"/>
                  </w:rPr>
                  <m:t>2</m:t>
                </m:r>
              </m:sub>
              <m:sup/>
              <m:e>
                <m:r>
                  <w:rPr>
                    <w:rFonts w:ascii="Cambria Math" w:hAnsi="Cambria Math"/>
                    <w:sz w:val="24"/>
                  </w:rPr>
                  <m:t>+</m:t>
                </m:r>
              </m:e>
            </m:sPre>
            <m:r>
              <w:rPr>
                <w:rFonts w:ascii="Cambria Math" w:hAnsi="Cambria Math"/>
                <w:sz w:val="24"/>
              </w:rPr>
              <m:t>∑</m:t>
            </m:r>
            <m:sSub>
              <m:sSubPr>
                <m:ctrlPr>
                  <w:rPr>
                    <w:rFonts w:ascii="Cambria Math" w:hAnsi="Cambria Math"/>
                    <w:sz w:val="24"/>
                  </w:rPr>
                </m:ctrlPr>
              </m:sSubPr>
              <m:e>
                <m:r>
                  <w:rPr>
                    <w:rFonts w:ascii="Cambria Math" w:hAnsi="Cambria Math"/>
                    <w:sz w:val="24"/>
                  </w:rPr>
                  <m:t>P</m:t>
                </m:r>
              </m:e>
              <m:sub>
                <m:r>
                  <w:rPr>
                    <w:rFonts w:ascii="Cambria Math" w:hAnsi="Cambria Math"/>
                    <w:sz w:val="24"/>
                  </w:rPr>
                  <m:t>3</m:t>
                </m:r>
              </m:sub>
            </m:sSub>
          </m:num>
          <m:den>
            <m:r>
              <w:rPr>
                <w:rFonts w:ascii="Cambria Math" w:hAnsi="Cambria Math"/>
                <w:sz w:val="24"/>
              </w:rPr>
              <m:t>∑N</m:t>
            </m:r>
          </m:den>
        </m:f>
      </m:oMath>
      <w:r w:rsidRPr="00236C6E">
        <w:rPr>
          <w:sz w:val="24"/>
        </w:rPr>
        <w:t xml:space="preserve"> </w:t>
      </w:r>
      <w:r w:rsidR="00F44656">
        <w:rPr>
          <w:sz w:val="24"/>
        </w:rPr>
        <w:t>-</w:t>
      </w:r>
      <w:r w:rsidR="00F44656">
        <w:t xml:space="preserve">  </w:t>
      </w:r>
      <w:r w:rsidR="00F44656">
        <w:rPr>
          <w:sz w:val="24"/>
        </w:rPr>
        <w:t xml:space="preserve"> koeficient hustoty odborné infor</w:t>
      </w:r>
      <w:r w:rsidR="00A01CC1">
        <w:rPr>
          <w:sz w:val="24"/>
        </w:rPr>
        <w:t xml:space="preserve">mace (proporce odborných a </w:t>
      </w:r>
      <w:r w:rsidR="00F44656">
        <w:rPr>
          <w:sz w:val="24"/>
        </w:rPr>
        <w:t>faktografických</w:t>
      </w:r>
      <w:r w:rsidR="00F44656">
        <w:t xml:space="preserve"> </w:t>
      </w:r>
      <w:r w:rsidR="00F44656">
        <w:rPr>
          <w:sz w:val="24"/>
        </w:rPr>
        <w:t>pojmů a číselných údajů v celkové sumě slov) (%),</w:t>
      </w:r>
    </w:p>
    <w:p w:rsidR="00F44656" w:rsidRDefault="00F44656">
      <w:pPr>
        <w:spacing w:line="360" w:lineRule="auto"/>
      </w:pPr>
      <w:r>
        <w:t xml:space="preserve"> </w:t>
      </w:r>
      <m:oMath>
        <m:r>
          <w:rPr>
            <w:rFonts w:ascii="Cambria Math" w:hAnsi="Cambria Math"/>
          </w:rPr>
          <m:t>h=</m:t>
        </m:r>
        <m:r>
          <w:rPr>
            <w:rFonts w:ascii="Cambria Math" w:hAnsi="Cambria Math"/>
          </w:rPr>
          <m:t>100×</m:t>
        </m:r>
        <m:f>
          <m:fPr>
            <m:ctrlPr>
              <w:rPr>
                <w:rFonts w:ascii="Cambria Math" w:hAnsi="Cambria Math"/>
              </w:rPr>
            </m:ctrlPr>
          </m:fPr>
          <m:num>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3</m:t>
                </m:r>
              </m:sub>
            </m:sSub>
          </m:num>
          <m:den>
            <m:r>
              <w:rPr>
                <w:rFonts w:ascii="Cambria Math" w:hAnsi="Cambria Math"/>
              </w:rPr>
              <m:t>∑P</m:t>
            </m:r>
          </m:den>
        </m:f>
      </m:oMath>
      <w:r>
        <w:rPr>
          <w:sz w:val="24"/>
        </w:rPr>
        <w:t xml:space="preserve"> - </w:t>
      </w:r>
      <w:r>
        <w:t xml:space="preserve"> </w:t>
      </w:r>
      <w:r>
        <w:rPr>
          <w:sz w:val="24"/>
        </w:rPr>
        <w:t xml:space="preserve">koeficient hustoty odborné </w:t>
      </w:r>
      <w:r w:rsidR="00A01CC1">
        <w:rPr>
          <w:sz w:val="24"/>
        </w:rPr>
        <w:t xml:space="preserve">informace (proporce odborných a </w:t>
      </w:r>
      <w:r>
        <w:rPr>
          <w:sz w:val="24"/>
        </w:rPr>
        <w:t>faktografických</w:t>
      </w:r>
      <w:r>
        <w:t xml:space="preserve"> </w:t>
      </w:r>
      <w:r>
        <w:rPr>
          <w:sz w:val="24"/>
        </w:rPr>
        <w:t>pojmů a číselných údajů v celkové sumě pojmů) (%),</w:t>
      </w:r>
    </w:p>
    <w:p w:rsidR="00F44656" w:rsidRDefault="00236C6E">
      <w:pPr>
        <w:spacing w:line="360" w:lineRule="auto"/>
        <w:rPr>
          <w:sz w:val="24"/>
        </w:rPr>
      </w:pPr>
      <m:oMath>
        <m:r>
          <w:rPr>
            <w:rFonts w:ascii="Cambria Math" w:hAnsi="Cambria Math"/>
          </w:rPr>
          <m:t>o=</m:t>
        </m:r>
        <m:f>
          <m:fPr>
            <m:ctrlPr>
              <w:rPr>
                <w:rFonts w:ascii="Cambria Math" w:hAnsi="Cambria Math"/>
              </w:rPr>
            </m:ctrlPr>
          </m:fPr>
          <m:num>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4</m:t>
                </m:r>
              </m:sub>
            </m:sSub>
          </m:num>
          <m:den>
            <m:r>
              <w:rPr>
                <w:rFonts w:ascii="Cambria Math" w:hAnsi="Cambria Math"/>
              </w:rPr>
              <m:t>∑P</m:t>
            </m:r>
          </m:den>
        </m:f>
        <m:r>
          <w:rPr>
            <w:rFonts w:ascii="Cambria Math" w:hAnsi="Cambria Math"/>
          </w:rPr>
          <m:t>×100</m:t>
        </m:r>
      </m:oMath>
      <w:r w:rsidRPr="00236C6E">
        <w:t xml:space="preserve"> </w:t>
      </w:r>
      <w:r w:rsidR="00F44656">
        <w:t xml:space="preserve">-  </w:t>
      </w:r>
      <w:r w:rsidR="00F44656">
        <w:rPr>
          <w:sz w:val="24"/>
        </w:rPr>
        <w:t>koeficient opakovaných pojmů (%).</w:t>
      </w:r>
    </w:p>
    <w:p w:rsidR="00F44656" w:rsidRDefault="00F44656">
      <w:pPr>
        <w:spacing w:line="360" w:lineRule="auto"/>
      </w:pPr>
    </w:p>
    <w:p w:rsidR="00F44656" w:rsidRDefault="00F44656">
      <w:pPr>
        <w:spacing w:line="360" w:lineRule="auto"/>
        <w:rPr>
          <w:b/>
          <w:sz w:val="24"/>
        </w:rPr>
      </w:pPr>
      <w:r>
        <w:rPr>
          <w:b/>
          <w:sz w:val="24"/>
        </w:rPr>
        <w:t>Výsledky</w:t>
      </w:r>
    </w:p>
    <w:p w:rsidR="00F44656" w:rsidRDefault="00F44656">
      <w:pPr>
        <w:spacing w:line="360" w:lineRule="auto"/>
        <w:rPr>
          <w:sz w:val="24"/>
        </w:rPr>
      </w:pPr>
      <w:r>
        <w:rPr>
          <w:sz w:val="24"/>
        </w:rPr>
        <w:t xml:space="preserve">   Výsledky vypočtených hodnot obtížnosti výkladových textů 6 českých současných učebnic přírodopisu pro 6. ročník základních škol, hodnocených vlastním inovovaným postupem, jsou shrnuty v tabulce 1.</w:t>
      </w:r>
    </w:p>
    <w:p w:rsidR="00F44656" w:rsidRDefault="00F44656">
      <w:pPr>
        <w:spacing w:line="360" w:lineRule="auto"/>
        <w:rPr>
          <w:sz w:val="24"/>
        </w:rPr>
      </w:pPr>
      <w:r>
        <w:rPr>
          <w:sz w:val="24"/>
        </w:rPr>
        <w:t>Tab. 1.</w:t>
      </w:r>
    </w:p>
    <w:p w:rsidR="00F44656" w:rsidRDefault="00F44656">
      <w:pPr>
        <w:spacing w:line="360" w:lineRule="auto"/>
        <w:rPr>
          <w:sz w:val="24"/>
        </w:rPr>
      </w:pPr>
      <w:r>
        <w:rPr>
          <w:sz w:val="24"/>
        </w:rPr>
        <w:t>Obtížnost výkladového textu současných českých učebnic přírodopisu pro 6. ročník ZŠ-hodnocení dle HRABÍ.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35"/>
        <w:gridCol w:w="1291"/>
        <w:gridCol w:w="1292"/>
        <w:gridCol w:w="1291"/>
        <w:gridCol w:w="1292"/>
        <w:gridCol w:w="1291"/>
        <w:gridCol w:w="1292"/>
      </w:tblGrid>
      <w:tr w:rsidR="00F44656">
        <w:trPr>
          <w:trHeight w:val="326"/>
        </w:trPr>
        <w:tc>
          <w:tcPr>
            <w:tcW w:w="1535" w:type="dxa"/>
          </w:tcPr>
          <w:p w:rsidR="00F44656" w:rsidRDefault="00F44656" w:rsidP="00236C6E">
            <w:pPr>
              <w:jc w:val="both"/>
              <w:rPr>
                <w:sz w:val="24"/>
              </w:rPr>
            </w:pPr>
          </w:p>
        </w:tc>
        <w:tc>
          <w:tcPr>
            <w:tcW w:w="1291" w:type="dxa"/>
          </w:tcPr>
          <w:p w:rsidR="00F44656" w:rsidRDefault="00F44656">
            <w:pPr>
              <w:jc w:val="center"/>
              <w:rPr>
                <w:sz w:val="24"/>
              </w:rPr>
            </w:pPr>
            <w:r>
              <w:rPr>
                <w:sz w:val="24"/>
              </w:rPr>
              <w:t>Fortuna</w:t>
            </w:r>
          </w:p>
        </w:tc>
        <w:tc>
          <w:tcPr>
            <w:tcW w:w="1292" w:type="dxa"/>
          </w:tcPr>
          <w:p w:rsidR="00F44656" w:rsidRDefault="00F44656">
            <w:pPr>
              <w:jc w:val="center"/>
              <w:rPr>
                <w:sz w:val="24"/>
              </w:rPr>
            </w:pPr>
            <w:r>
              <w:rPr>
                <w:sz w:val="24"/>
              </w:rPr>
              <w:t>Jinan</w:t>
            </w:r>
          </w:p>
        </w:tc>
        <w:tc>
          <w:tcPr>
            <w:tcW w:w="1291" w:type="dxa"/>
          </w:tcPr>
          <w:p w:rsidR="00F44656" w:rsidRDefault="00F44656">
            <w:pPr>
              <w:jc w:val="center"/>
              <w:rPr>
                <w:sz w:val="24"/>
              </w:rPr>
            </w:pPr>
            <w:r>
              <w:rPr>
                <w:sz w:val="24"/>
              </w:rPr>
              <w:t>Nová škola</w:t>
            </w:r>
          </w:p>
        </w:tc>
        <w:tc>
          <w:tcPr>
            <w:tcW w:w="1292" w:type="dxa"/>
          </w:tcPr>
          <w:p w:rsidR="00F44656" w:rsidRDefault="00F44656">
            <w:pPr>
              <w:jc w:val="center"/>
              <w:rPr>
                <w:sz w:val="24"/>
              </w:rPr>
            </w:pPr>
            <w:r>
              <w:rPr>
                <w:sz w:val="24"/>
              </w:rPr>
              <w:t>Prodos</w:t>
            </w:r>
          </w:p>
        </w:tc>
        <w:tc>
          <w:tcPr>
            <w:tcW w:w="1291" w:type="dxa"/>
          </w:tcPr>
          <w:p w:rsidR="00F44656" w:rsidRDefault="00F44656">
            <w:pPr>
              <w:jc w:val="center"/>
              <w:rPr>
                <w:sz w:val="24"/>
              </w:rPr>
            </w:pPr>
            <w:r>
              <w:rPr>
                <w:sz w:val="24"/>
              </w:rPr>
              <w:t>Scientia</w:t>
            </w:r>
          </w:p>
        </w:tc>
        <w:tc>
          <w:tcPr>
            <w:tcW w:w="1292" w:type="dxa"/>
          </w:tcPr>
          <w:p w:rsidR="00F44656" w:rsidRDefault="00F44656">
            <w:pPr>
              <w:jc w:val="center"/>
              <w:rPr>
                <w:sz w:val="24"/>
              </w:rPr>
            </w:pPr>
            <w:r>
              <w:rPr>
                <w:sz w:val="24"/>
              </w:rPr>
              <w:t>SPN</w:t>
            </w:r>
          </w:p>
        </w:tc>
      </w:tr>
      <w:tr w:rsidR="00F44656">
        <w:trPr>
          <w:trHeight w:val="327"/>
        </w:trPr>
        <w:tc>
          <w:tcPr>
            <w:tcW w:w="1535" w:type="dxa"/>
          </w:tcPr>
          <w:p w:rsidR="00F44656" w:rsidRDefault="00F44656" w:rsidP="00236C6E">
            <w:pPr>
              <w:jc w:val="both"/>
              <w:rPr>
                <w:sz w:val="24"/>
              </w:rPr>
            </w:pPr>
            <w:r>
              <w:rPr>
                <w:sz w:val="24"/>
              </w:rPr>
              <w:t>T</w:t>
            </w:r>
          </w:p>
        </w:tc>
        <w:tc>
          <w:tcPr>
            <w:tcW w:w="1291" w:type="dxa"/>
          </w:tcPr>
          <w:p w:rsidR="00F44656" w:rsidRDefault="00F44656">
            <w:pPr>
              <w:jc w:val="center"/>
              <w:rPr>
                <w:sz w:val="24"/>
              </w:rPr>
            </w:pPr>
            <w:r>
              <w:rPr>
                <w:sz w:val="24"/>
              </w:rPr>
              <w:t>32,07</w:t>
            </w:r>
          </w:p>
        </w:tc>
        <w:tc>
          <w:tcPr>
            <w:tcW w:w="1292" w:type="dxa"/>
          </w:tcPr>
          <w:p w:rsidR="00F44656" w:rsidRDefault="00F44656">
            <w:pPr>
              <w:jc w:val="center"/>
              <w:rPr>
                <w:sz w:val="24"/>
              </w:rPr>
            </w:pPr>
            <w:r>
              <w:rPr>
                <w:sz w:val="24"/>
              </w:rPr>
              <w:t>30,65</w:t>
            </w:r>
          </w:p>
        </w:tc>
        <w:tc>
          <w:tcPr>
            <w:tcW w:w="1291" w:type="dxa"/>
          </w:tcPr>
          <w:p w:rsidR="00F44656" w:rsidRDefault="00F44656">
            <w:pPr>
              <w:jc w:val="center"/>
              <w:rPr>
                <w:sz w:val="24"/>
              </w:rPr>
            </w:pPr>
            <w:r>
              <w:rPr>
                <w:sz w:val="24"/>
              </w:rPr>
              <w:t>30,85</w:t>
            </w:r>
          </w:p>
        </w:tc>
        <w:tc>
          <w:tcPr>
            <w:tcW w:w="1292" w:type="dxa"/>
          </w:tcPr>
          <w:p w:rsidR="00F44656" w:rsidRDefault="00F44656">
            <w:pPr>
              <w:jc w:val="center"/>
              <w:rPr>
                <w:sz w:val="24"/>
              </w:rPr>
            </w:pPr>
            <w:r>
              <w:rPr>
                <w:sz w:val="24"/>
              </w:rPr>
              <w:t>38,69</w:t>
            </w:r>
          </w:p>
        </w:tc>
        <w:tc>
          <w:tcPr>
            <w:tcW w:w="1291" w:type="dxa"/>
          </w:tcPr>
          <w:p w:rsidR="00F44656" w:rsidRDefault="00F44656">
            <w:pPr>
              <w:jc w:val="center"/>
              <w:rPr>
                <w:sz w:val="24"/>
              </w:rPr>
            </w:pPr>
            <w:r>
              <w:rPr>
                <w:sz w:val="24"/>
              </w:rPr>
              <w:t>28,91</w:t>
            </w:r>
          </w:p>
        </w:tc>
        <w:tc>
          <w:tcPr>
            <w:tcW w:w="1292" w:type="dxa"/>
          </w:tcPr>
          <w:p w:rsidR="00F44656" w:rsidRDefault="00F44656">
            <w:pPr>
              <w:jc w:val="center"/>
              <w:rPr>
                <w:sz w:val="24"/>
              </w:rPr>
            </w:pPr>
            <w:r>
              <w:rPr>
                <w:sz w:val="24"/>
              </w:rPr>
              <w:t>31,51</w:t>
            </w:r>
          </w:p>
        </w:tc>
      </w:tr>
      <w:tr w:rsidR="00F44656">
        <w:trPr>
          <w:trHeight w:val="327"/>
        </w:trPr>
        <w:tc>
          <w:tcPr>
            <w:tcW w:w="1535" w:type="dxa"/>
          </w:tcPr>
          <w:p w:rsidR="00F44656" w:rsidRDefault="00F44656" w:rsidP="00236C6E">
            <w:pPr>
              <w:jc w:val="both"/>
              <w:rPr>
                <w:sz w:val="24"/>
              </w:rPr>
            </w:pPr>
            <w:r>
              <w:rPr>
                <w:sz w:val="24"/>
              </w:rPr>
              <w:t>T</w:t>
            </w:r>
            <w:r>
              <w:rPr>
                <w:sz w:val="24"/>
                <w:vertAlign w:val="subscript"/>
              </w:rPr>
              <w:t>s</w:t>
            </w:r>
          </w:p>
        </w:tc>
        <w:tc>
          <w:tcPr>
            <w:tcW w:w="1291" w:type="dxa"/>
          </w:tcPr>
          <w:p w:rsidR="00F44656" w:rsidRDefault="00F44656">
            <w:pPr>
              <w:jc w:val="center"/>
              <w:rPr>
                <w:sz w:val="24"/>
              </w:rPr>
            </w:pPr>
            <w:r>
              <w:rPr>
                <w:sz w:val="24"/>
              </w:rPr>
              <w:t>7,86</w:t>
            </w:r>
          </w:p>
        </w:tc>
        <w:tc>
          <w:tcPr>
            <w:tcW w:w="1292" w:type="dxa"/>
          </w:tcPr>
          <w:p w:rsidR="00F44656" w:rsidRDefault="00F44656">
            <w:pPr>
              <w:jc w:val="center"/>
              <w:rPr>
                <w:sz w:val="24"/>
              </w:rPr>
            </w:pPr>
            <w:r>
              <w:rPr>
                <w:sz w:val="24"/>
              </w:rPr>
              <w:t>9,77</w:t>
            </w:r>
          </w:p>
        </w:tc>
        <w:tc>
          <w:tcPr>
            <w:tcW w:w="1291" w:type="dxa"/>
          </w:tcPr>
          <w:p w:rsidR="00F44656" w:rsidRDefault="00F44656">
            <w:pPr>
              <w:jc w:val="center"/>
              <w:rPr>
                <w:sz w:val="24"/>
              </w:rPr>
            </w:pPr>
            <w:r>
              <w:rPr>
                <w:sz w:val="24"/>
              </w:rPr>
              <w:t>5,47</w:t>
            </w:r>
          </w:p>
        </w:tc>
        <w:tc>
          <w:tcPr>
            <w:tcW w:w="1292" w:type="dxa"/>
          </w:tcPr>
          <w:p w:rsidR="00F44656" w:rsidRDefault="00F44656">
            <w:pPr>
              <w:jc w:val="center"/>
              <w:rPr>
                <w:sz w:val="24"/>
              </w:rPr>
            </w:pPr>
            <w:r>
              <w:rPr>
                <w:sz w:val="24"/>
              </w:rPr>
              <w:t>7,63</w:t>
            </w:r>
          </w:p>
        </w:tc>
        <w:tc>
          <w:tcPr>
            <w:tcW w:w="1291" w:type="dxa"/>
          </w:tcPr>
          <w:p w:rsidR="00F44656" w:rsidRDefault="00F44656">
            <w:pPr>
              <w:jc w:val="center"/>
              <w:rPr>
                <w:sz w:val="24"/>
              </w:rPr>
            </w:pPr>
            <w:r>
              <w:rPr>
                <w:sz w:val="24"/>
              </w:rPr>
              <w:t>10,12</w:t>
            </w:r>
          </w:p>
        </w:tc>
        <w:tc>
          <w:tcPr>
            <w:tcW w:w="1292" w:type="dxa"/>
          </w:tcPr>
          <w:p w:rsidR="00F44656" w:rsidRDefault="00F44656">
            <w:pPr>
              <w:jc w:val="center"/>
              <w:rPr>
                <w:sz w:val="24"/>
              </w:rPr>
            </w:pPr>
            <w:r>
              <w:rPr>
                <w:sz w:val="24"/>
              </w:rPr>
              <w:t>6,66</w:t>
            </w:r>
          </w:p>
        </w:tc>
      </w:tr>
      <w:tr w:rsidR="00F44656">
        <w:trPr>
          <w:trHeight w:val="326"/>
        </w:trPr>
        <w:tc>
          <w:tcPr>
            <w:tcW w:w="1535" w:type="dxa"/>
          </w:tcPr>
          <w:p w:rsidR="00F44656" w:rsidRPr="00DF457C" w:rsidRDefault="00C930BF" w:rsidP="00236C6E">
            <w:pPr>
              <w:jc w:val="both"/>
              <w:rPr>
                <w:sz w:val="24"/>
              </w:rPr>
            </w:pPr>
            <m:oMathPara>
              <m:oMathParaPr>
                <m:jc m:val="left"/>
              </m:oMathParaPr>
              <m:oMath>
                <m:acc>
                  <m:accPr>
                    <m:chr m:val="̅"/>
                    <m:ctrlPr>
                      <w:rPr>
                        <w:rFonts w:ascii="Cambria Math" w:hAnsi="Cambria Math"/>
                        <w:sz w:val="24"/>
                      </w:rPr>
                    </m:ctrlPr>
                  </m:accPr>
                  <m:e>
                    <m:r>
                      <w:rPr>
                        <w:rFonts w:ascii="Cambria Math" w:hAnsi="Cambria Math"/>
                        <w:sz w:val="24"/>
                      </w:rPr>
                      <m:t>V</m:t>
                    </m:r>
                  </m:e>
                </m:acc>
              </m:oMath>
            </m:oMathPara>
          </w:p>
        </w:tc>
        <w:tc>
          <w:tcPr>
            <w:tcW w:w="1291" w:type="dxa"/>
          </w:tcPr>
          <w:p w:rsidR="00F44656" w:rsidRDefault="00F44656">
            <w:pPr>
              <w:jc w:val="center"/>
              <w:rPr>
                <w:sz w:val="24"/>
              </w:rPr>
            </w:pPr>
            <w:r>
              <w:rPr>
                <w:sz w:val="24"/>
              </w:rPr>
              <w:t>10,67</w:t>
            </w:r>
          </w:p>
        </w:tc>
        <w:tc>
          <w:tcPr>
            <w:tcW w:w="1292" w:type="dxa"/>
          </w:tcPr>
          <w:p w:rsidR="00F44656" w:rsidRDefault="00F44656">
            <w:pPr>
              <w:jc w:val="center"/>
              <w:rPr>
                <w:sz w:val="24"/>
              </w:rPr>
            </w:pPr>
            <w:r>
              <w:rPr>
                <w:sz w:val="24"/>
              </w:rPr>
              <w:t>11,90</w:t>
            </w:r>
          </w:p>
        </w:tc>
        <w:tc>
          <w:tcPr>
            <w:tcW w:w="1291" w:type="dxa"/>
          </w:tcPr>
          <w:p w:rsidR="00F44656" w:rsidRDefault="00F44656">
            <w:pPr>
              <w:jc w:val="center"/>
              <w:rPr>
                <w:sz w:val="24"/>
              </w:rPr>
            </w:pPr>
            <w:r>
              <w:rPr>
                <w:sz w:val="24"/>
              </w:rPr>
              <w:t>8,43</w:t>
            </w:r>
          </w:p>
        </w:tc>
        <w:tc>
          <w:tcPr>
            <w:tcW w:w="1292" w:type="dxa"/>
          </w:tcPr>
          <w:p w:rsidR="00F44656" w:rsidRDefault="00F44656">
            <w:pPr>
              <w:jc w:val="center"/>
              <w:rPr>
                <w:sz w:val="24"/>
              </w:rPr>
            </w:pPr>
            <w:r>
              <w:rPr>
                <w:sz w:val="24"/>
              </w:rPr>
              <w:t>10,61</w:t>
            </w:r>
          </w:p>
        </w:tc>
        <w:tc>
          <w:tcPr>
            <w:tcW w:w="1291" w:type="dxa"/>
          </w:tcPr>
          <w:p w:rsidR="00F44656" w:rsidRDefault="00F44656">
            <w:pPr>
              <w:jc w:val="center"/>
              <w:rPr>
                <w:sz w:val="24"/>
              </w:rPr>
            </w:pPr>
            <w:r>
              <w:rPr>
                <w:sz w:val="24"/>
              </w:rPr>
              <w:t>12,78</w:t>
            </w:r>
          </w:p>
        </w:tc>
        <w:tc>
          <w:tcPr>
            <w:tcW w:w="1292" w:type="dxa"/>
          </w:tcPr>
          <w:p w:rsidR="00F44656" w:rsidRDefault="00F44656">
            <w:pPr>
              <w:jc w:val="center"/>
              <w:rPr>
                <w:sz w:val="24"/>
              </w:rPr>
            </w:pPr>
            <w:r>
              <w:rPr>
                <w:sz w:val="24"/>
              </w:rPr>
              <w:t>9,61</w:t>
            </w:r>
          </w:p>
        </w:tc>
      </w:tr>
      <w:tr w:rsidR="00F44656">
        <w:trPr>
          <w:trHeight w:val="327"/>
        </w:trPr>
        <w:tc>
          <w:tcPr>
            <w:tcW w:w="1535" w:type="dxa"/>
          </w:tcPr>
          <w:p w:rsidR="00F44656" w:rsidRPr="00DF457C" w:rsidRDefault="00C930BF" w:rsidP="00236C6E">
            <w:pPr>
              <w:jc w:val="both"/>
              <w:rPr>
                <w:sz w:val="24"/>
              </w:rPr>
            </w:pPr>
            <m:oMathPara>
              <m:oMathParaPr>
                <m:jc m:val="left"/>
              </m:oMathParaPr>
              <m:oMath>
                <m:acc>
                  <m:accPr>
                    <m:chr m:val="̅"/>
                    <m:ctrlPr>
                      <w:rPr>
                        <w:rFonts w:ascii="Cambria Math" w:hAnsi="Cambria Math"/>
                        <w:sz w:val="24"/>
                      </w:rPr>
                    </m:ctrlPr>
                  </m:accPr>
                  <m:e>
                    <m:r>
                      <w:rPr>
                        <w:rFonts w:ascii="Cambria Math" w:hAnsi="Cambria Math"/>
                        <w:sz w:val="24"/>
                      </w:rPr>
                      <m:t>U</m:t>
                    </m:r>
                  </m:e>
                </m:acc>
              </m:oMath>
            </m:oMathPara>
          </w:p>
        </w:tc>
        <w:tc>
          <w:tcPr>
            <w:tcW w:w="1291" w:type="dxa"/>
          </w:tcPr>
          <w:p w:rsidR="00F44656" w:rsidRDefault="00F44656">
            <w:pPr>
              <w:jc w:val="center"/>
              <w:rPr>
                <w:sz w:val="24"/>
              </w:rPr>
            </w:pPr>
            <w:r>
              <w:rPr>
                <w:sz w:val="24"/>
              </w:rPr>
              <w:t>7,37</w:t>
            </w:r>
          </w:p>
        </w:tc>
        <w:tc>
          <w:tcPr>
            <w:tcW w:w="1292" w:type="dxa"/>
          </w:tcPr>
          <w:p w:rsidR="00F44656" w:rsidRDefault="00F44656">
            <w:pPr>
              <w:jc w:val="center"/>
              <w:rPr>
                <w:sz w:val="24"/>
              </w:rPr>
            </w:pPr>
            <w:r>
              <w:rPr>
                <w:sz w:val="24"/>
              </w:rPr>
              <w:t>8,21</w:t>
            </w:r>
          </w:p>
        </w:tc>
        <w:tc>
          <w:tcPr>
            <w:tcW w:w="1291" w:type="dxa"/>
          </w:tcPr>
          <w:p w:rsidR="00F44656" w:rsidRDefault="00F44656">
            <w:pPr>
              <w:jc w:val="center"/>
              <w:rPr>
                <w:sz w:val="24"/>
              </w:rPr>
            </w:pPr>
            <w:r>
              <w:rPr>
                <w:sz w:val="24"/>
              </w:rPr>
              <w:t>6,49</w:t>
            </w:r>
          </w:p>
        </w:tc>
        <w:tc>
          <w:tcPr>
            <w:tcW w:w="1292" w:type="dxa"/>
          </w:tcPr>
          <w:p w:rsidR="00F44656" w:rsidRDefault="00F44656">
            <w:pPr>
              <w:jc w:val="center"/>
              <w:rPr>
                <w:sz w:val="24"/>
              </w:rPr>
            </w:pPr>
            <w:r>
              <w:rPr>
                <w:sz w:val="24"/>
              </w:rPr>
              <w:t>7,17</w:t>
            </w:r>
          </w:p>
        </w:tc>
        <w:tc>
          <w:tcPr>
            <w:tcW w:w="1291" w:type="dxa"/>
          </w:tcPr>
          <w:p w:rsidR="00F44656" w:rsidRDefault="00F44656">
            <w:pPr>
              <w:jc w:val="center"/>
              <w:rPr>
                <w:sz w:val="24"/>
              </w:rPr>
            </w:pPr>
            <w:r>
              <w:rPr>
                <w:sz w:val="24"/>
              </w:rPr>
              <w:t>7,92</w:t>
            </w:r>
          </w:p>
        </w:tc>
        <w:tc>
          <w:tcPr>
            <w:tcW w:w="1292" w:type="dxa"/>
          </w:tcPr>
          <w:p w:rsidR="00F44656" w:rsidRDefault="00F44656">
            <w:pPr>
              <w:jc w:val="center"/>
              <w:rPr>
                <w:sz w:val="24"/>
              </w:rPr>
            </w:pPr>
            <w:r>
              <w:rPr>
                <w:sz w:val="24"/>
              </w:rPr>
              <w:t>6,93</w:t>
            </w:r>
          </w:p>
        </w:tc>
      </w:tr>
      <w:tr w:rsidR="00F44656">
        <w:trPr>
          <w:trHeight w:val="327"/>
        </w:trPr>
        <w:tc>
          <w:tcPr>
            <w:tcW w:w="1535" w:type="dxa"/>
          </w:tcPr>
          <w:p w:rsidR="00F44656" w:rsidRDefault="00F44656" w:rsidP="00236C6E">
            <w:pPr>
              <w:jc w:val="both"/>
              <w:rPr>
                <w:sz w:val="24"/>
              </w:rPr>
            </w:pPr>
            <w:r>
              <w:rPr>
                <w:sz w:val="24"/>
              </w:rPr>
              <w:t>T</w:t>
            </w:r>
            <w:r>
              <w:rPr>
                <w:sz w:val="24"/>
                <w:vertAlign w:val="subscript"/>
              </w:rPr>
              <w:t>p</w:t>
            </w:r>
          </w:p>
        </w:tc>
        <w:tc>
          <w:tcPr>
            <w:tcW w:w="1291" w:type="dxa"/>
          </w:tcPr>
          <w:p w:rsidR="00F44656" w:rsidRDefault="00F44656">
            <w:pPr>
              <w:jc w:val="center"/>
              <w:rPr>
                <w:sz w:val="24"/>
              </w:rPr>
            </w:pPr>
            <w:r>
              <w:rPr>
                <w:sz w:val="24"/>
              </w:rPr>
              <w:t>24,21</w:t>
            </w:r>
          </w:p>
        </w:tc>
        <w:tc>
          <w:tcPr>
            <w:tcW w:w="1292" w:type="dxa"/>
          </w:tcPr>
          <w:p w:rsidR="00F44656" w:rsidRDefault="00F44656">
            <w:pPr>
              <w:jc w:val="center"/>
              <w:rPr>
                <w:sz w:val="24"/>
              </w:rPr>
            </w:pPr>
            <w:r>
              <w:rPr>
                <w:sz w:val="24"/>
              </w:rPr>
              <w:t>20,88</w:t>
            </w:r>
          </w:p>
        </w:tc>
        <w:tc>
          <w:tcPr>
            <w:tcW w:w="1291" w:type="dxa"/>
          </w:tcPr>
          <w:p w:rsidR="00F44656" w:rsidRDefault="00F44656">
            <w:pPr>
              <w:jc w:val="center"/>
              <w:rPr>
                <w:sz w:val="24"/>
              </w:rPr>
            </w:pPr>
            <w:r>
              <w:rPr>
                <w:sz w:val="24"/>
              </w:rPr>
              <w:t>25,38</w:t>
            </w:r>
          </w:p>
        </w:tc>
        <w:tc>
          <w:tcPr>
            <w:tcW w:w="1292" w:type="dxa"/>
          </w:tcPr>
          <w:p w:rsidR="00F44656" w:rsidRDefault="00F44656">
            <w:pPr>
              <w:jc w:val="center"/>
              <w:rPr>
                <w:sz w:val="24"/>
              </w:rPr>
            </w:pPr>
            <w:r>
              <w:rPr>
                <w:sz w:val="24"/>
              </w:rPr>
              <w:t>31,06</w:t>
            </w:r>
          </w:p>
        </w:tc>
        <w:tc>
          <w:tcPr>
            <w:tcW w:w="1291" w:type="dxa"/>
          </w:tcPr>
          <w:p w:rsidR="00F44656" w:rsidRDefault="00F44656">
            <w:pPr>
              <w:jc w:val="center"/>
              <w:rPr>
                <w:sz w:val="24"/>
              </w:rPr>
            </w:pPr>
            <w:r>
              <w:rPr>
                <w:sz w:val="24"/>
              </w:rPr>
              <w:t>18,79</w:t>
            </w:r>
          </w:p>
        </w:tc>
        <w:tc>
          <w:tcPr>
            <w:tcW w:w="1292" w:type="dxa"/>
          </w:tcPr>
          <w:p w:rsidR="00F44656" w:rsidRDefault="00F44656">
            <w:pPr>
              <w:jc w:val="center"/>
              <w:rPr>
                <w:sz w:val="24"/>
              </w:rPr>
            </w:pPr>
            <w:r>
              <w:rPr>
                <w:sz w:val="24"/>
              </w:rPr>
              <w:t>24,85</w:t>
            </w:r>
          </w:p>
        </w:tc>
      </w:tr>
      <w:tr w:rsidR="00F44656">
        <w:trPr>
          <w:trHeight w:val="760"/>
        </w:trPr>
        <w:tc>
          <w:tcPr>
            <w:tcW w:w="1535" w:type="dxa"/>
          </w:tcPr>
          <w:p w:rsidR="00F44656" w:rsidRPr="00DF457C" w:rsidRDefault="00C930BF" w:rsidP="00236C6E">
            <w:pPr>
              <w:jc w:val="both"/>
              <w:rPr>
                <w:sz w:val="24"/>
              </w:rPr>
            </w:pPr>
            <m:oMathPara>
              <m:oMathParaPr>
                <m:jc m:val="left"/>
              </m:oMathParaPr>
              <m:oMath>
                <m:f>
                  <m:fPr>
                    <m:ctrlPr>
                      <w:rPr>
                        <w:rFonts w:ascii="Cambria Math" w:hAnsi="Cambria Math"/>
                        <w:sz w:val="24"/>
                      </w:rPr>
                    </m:ctrlPr>
                  </m:fPr>
                  <m:num>
                    <m:r>
                      <w:rPr>
                        <w:rFonts w:ascii="Cambria Math" w:hAnsi="Cambria Math"/>
                        <w:sz w:val="24"/>
                      </w:rPr>
                      <m:t>∑U</m:t>
                    </m:r>
                  </m:num>
                  <m:den>
                    <m:r>
                      <w:rPr>
                        <w:rFonts w:ascii="Cambria Math" w:hAnsi="Cambria Math"/>
                        <w:sz w:val="24"/>
                      </w:rPr>
                      <m:t>∑N</m:t>
                    </m:r>
                  </m:den>
                </m:f>
                <m:r>
                  <w:rPr>
                    <w:rFonts w:ascii="Cambria Math" w:hAnsi="Cambria Math"/>
                    <w:sz w:val="24"/>
                  </w:rPr>
                  <m:t>×100</m:t>
                </m:r>
              </m:oMath>
            </m:oMathPara>
          </w:p>
        </w:tc>
        <w:tc>
          <w:tcPr>
            <w:tcW w:w="1291" w:type="dxa"/>
          </w:tcPr>
          <w:p w:rsidR="00F44656" w:rsidRDefault="00F44656">
            <w:pPr>
              <w:jc w:val="center"/>
              <w:rPr>
                <w:sz w:val="24"/>
              </w:rPr>
            </w:pPr>
          </w:p>
          <w:p w:rsidR="00F44656" w:rsidRDefault="00F44656">
            <w:pPr>
              <w:jc w:val="center"/>
              <w:rPr>
                <w:sz w:val="24"/>
              </w:rPr>
            </w:pPr>
            <w:r>
              <w:rPr>
                <w:sz w:val="24"/>
              </w:rPr>
              <w:t>13,58</w:t>
            </w:r>
          </w:p>
        </w:tc>
        <w:tc>
          <w:tcPr>
            <w:tcW w:w="1292" w:type="dxa"/>
          </w:tcPr>
          <w:p w:rsidR="00F44656" w:rsidRDefault="00F44656">
            <w:pPr>
              <w:jc w:val="center"/>
              <w:rPr>
                <w:sz w:val="24"/>
              </w:rPr>
            </w:pPr>
          </w:p>
          <w:p w:rsidR="00F44656" w:rsidRDefault="00F44656">
            <w:pPr>
              <w:jc w:val="center"/>
              <w:rPr>
                <w:sz w:val="24"/>
              </w:rPr>
            </w:pPr>
            <w:r>
              <w:rPr>
                <w:sz w:val="24"/>
              </w:rPr>
              <w:t>12,18</w:t>
            </w:r>
          </w:p>
        </w:tc>
        <w:tc>
          <w:tcPr>
            <w:tcW w:w="1291" w:type="dxa"/>
          </w:tcPr>
          <w:p w:rsidR="00F44656" w:rsidRDefault="00F44656">
            <w:pPr>
              <w:jc w:val="center"/>
              <w:rPr>
                <w:sz w:val="24"/>
              </w:rPr>
            </w:pPr>
          </w:p>
          <w:p w:rsidR="00F44656" w:rsidRDefault="00F44656">
            <w:pPr>
              <w:jc w:val="center"/>
              <w:rPr>
                <w:sz w:val="24"/>
              </w:rPr>
            </w:pPr>
            <w:r>
              <w:rPr>
                <w:sz w:val="24"/>
              </w:rPr>
              <w:t>15,41</w:t>
            </w:r>
          </w:p>
        </w:tc>
        <w:tc>
          <w:tcPr>
            <w:tcW w:w="1292" w:type="dxa"/>
          </w:tcPr>
          <w:p w:rsidR="00F44656" w:rsidRDefault="00F44656">
            <w:pPr>
              <w:jc w:val="center"/>
              <w:rPr>
                <w:sz w:val="24"/>
              </w:rPr>
            </w:pPr>
          </w:p>
          <w:p w:rsidR="00F44656" w:rsidRDefault="00F44656">
            <w:pPr>
              <w:jc w:val="center"/>
              <w:rPr>
                <w:sz w:val="24"/>
              </w:rPr>
            </w:pPr>
            <w:r>
              <w:rPr>
                <w:sz w:val="24"/>
              </w:rPr>
              <w:t>13,90</w:t>
            </w:r>
          </w:p>
        </w:tc>
        <w:tc>
          <w:tcPr>
            <w:tcW w:w="1291" w:type="dxa"/>
          </w:tcPr>
          <w:p w:rsidR="00F44656" w:rsidRDefault="00F44656">
            <w:pPr>
              <w:jc w:val="center"/>
              <w:rPr>
                <w:sz w:val="24"/>
              </w:rPr>
            </w:pPr>
          </w:p>
          <w:p w:rsidR="00F44656" w:rsidRDefault="00F44656">
            <w:pPr>
              <w:jc w:val="center"/>
              <w:rPr>
                <w:sz w:val="24"/>
              </w:rPr>
            </w:pPr>
            <w:r>
              <w:rPr>
                <w:sz w:val="24"/>
              </w:rPr>
              <w:t>12,63</w:t>
            </w:r>
          </w:p>
        </w:tc>
        <w:tc>
          <w:tcPr>
            <w:tcW w:w="1292" w:type="dxa"/>
          </w:tcPr>
          <w:p w:rsidR="00F44656" w:rsidRDefault="00F44656">
            <w:pPr>
              <w:jc w:val="center"/>
              <w:rPr>
                <w:sz w:val="24"/>
              </w:rPr>
            </w:pPr>
            <w:r>
              <w:rPr>
                <w:sz w:val="24"/>
              </w:rPr>
              <w:t>14,42</w:t>
            </w:r>
          </w:p>
        </w:tc>
      </w:tr>
      <w:tr w:rsidR="00F44656">
        <w:trPr>
          <w:trHeight w:val="760"/>
        </w:trPr>
        <w:tc>
          <w:tcPr>
            <w:tcW w:w="1535" w:type="dxa"/>
          </w:tcPr>
          <w:p w:rsidR="00F44656" w:rsidRPr="00DF457C" w:rsidRDefault="00C930BF" w:rsidP="00236C6E">
            <w:pPr>
              <w:jc w:val="both"/>
              <w:rPr>
                <w:sz w:val="24"/>
              </w:rPr>
            </w:pPr>
            <m:oMathPara>
              <m:oMathParaPr>
                <m:jc m:val="left"/>
              </m:oMathParaPr>
              <m:oMath>
                <m:f>
                  <m:fPr>
                    <m:ctrlPr>
                      <w:rPr>
                        <w:rFonts w:ascii="Cambria Math" w:hAnsi="Cambria Math"/>
                        <w:sz w:val="24"/>
                      </w:rPr>
                    </m:ctrlPr>
                  </m:fPr>
                  <m:num>
                    <m:r>
                      <w:rPr>
                        <w:rFonts w:ascii="Cambria Math" w:hAnsi="Cambria Math"/>
                        <w:sz w:val="24"/>
                      </w:rPr>
                      <m:t>∑P</m:t>
                    </m:r>
                  </m:num>
                  <m:den>
                    <m:r>
                      <w:rPr>
                        <w:rFonts w:ascii="Cambria Math" w:hAnsi="Cambria Math"/>
                        <w:sz w:val="24"/>
                      </w:rPr>
                      <m:t>∑N</m:t>
                    </m:r>
                  </m:den>
                </m:f>
                <m:r>
                  <w:rPr>
                    <w:rFonts w:ascii="Cambria Math" w:hAnsi="Cambria Math"/>
                    <w:sz w:val="24"/>
                  </w:rPr>
                  <m:t>×100</m:t>
                </m:r>
              </m:oMath>
            </m:oMathPara>
          </w:p>
        </w:tc>
        <w:tc>
          <w:tcPr>
            <w:tcW w:w="1291" w:type="dxa"/>
          </w:tcPr>
          <w:p w:rsidR="00F44656" w:rsidRDefault="00F44656">
            <w:pPr>
              <w:jc w:val="center"/>
              <w:rPr>
                <w:sz w:val="24"/>
              </w:rPr>
            </w:pPr>
          </w:p>
          <w:p w:rsidR="00F44656" w:rsidRDefault="00F44656">
            <w:pPr>
              <w:jc w:val="center"/>
              <w:rPr>
                <w:sz w:val="24"/>
              </w:rPr>
            </w:pPr>
            <w:r>
              <w:rPr>
                <w:sz w:val="24"/>
              </w:rPr>
              <w:t>39,67</w:t>
            </w:r>
          </w:p>
        </w:tc>
        <w:tc>
          <w:tcPr>
            <w:tcW w:w="1292" w:type="dxa"/>
          </w:tcPr>
          <w:p w:rsidR="00F44656" w:rsidRDefault="00F44656">
            <w:pPr>
              <w:jc w:val="center"/>
              <w:rPr>
                <w:sz w:val="24"/>
              </w:rPr>
            </w:pPr>
          </w:p>
          <w:p w:rsidR="00F44656" w:rsidRDefault="00F44656">
            <w:pPr>
              <w:jc w:val="center"/>
              <w:rPr>
                <w:sz w:val="24"/>
              </w:rPr>
            </w:pPr>
            <w:r>
              <w:rPr>
                <w:sz w:val="24"/>
              </w:rPr>
              <w:t>37,78</w:t>
            </w:r>
          </w:p>
        </w:tc>
        <w:tc>
          <w:tcPr>
            <w:tcW w:w="1291" w:type="dxa"/>
          </w:tcPr>
          <w:p w:rsidR="00F44656" w:rsidRDefault="00F44656">
            <w:pPr>
              <w:jc w:val="center"/>
              <w:rPr>
                <w:sz w:val="24"/>
              </w:rPr>
            </w:pPr>
          </w:p>
          <w:p w:rsidR="00F44656" w:rsidRDefault="00F44656">
            <w:pPr>
              <w:jc w:val="center"/>
              <w:rPr>
                <w:sz w:val="24"/>
              </w:rPr>
            </w:pPr>
            <w:r>
              <w:rPr>
                <w:sz w:val="24"/>
              </w:rPr>
              <w:t>40,76</w:t>
            </w:r>
          </w:p>
        </w:tc>
        <w:tc>
          <w:tcPr>
            <w:tcW w:w="1292" w:type="dxa"/>
          </w:tcPr>
          <w:p w:rsidR="00F44656" w:rsidRDefault="00F44656">
            <w:pPr>
              <w:jc w:val="center"/>
              <w:rPr>
                <w:sz w:val="24"/>
              </w:rPr>
            </w:pPr>
          </w:p>
          <w:p w:rsidR="00F44656" w:rsidRDefault="00F44656">
            <w:pPr>
              <w:jc w:val="center"/>
              <w:rPr>
                <w:sz w:val="24"/>
              </w:rPr>
            </w:pPr>
            <w:r>
              <w:rPr>
                <w:sz w:val="24"/>
              </w:rPr>
              <w:t>43,13</w:t>
            </w:r>
          </w:p>
        </w:tc>
        <w:tc>
          <w:tcPr>
            <w:tcW w:w="1291" w:type="dxa"/>
          </w:tcPr>
          <w:p w:rsidR="00F44656" w:rsidRDefault="00F44656">
            <w:pPr>
              <w:jc w:val="center"/>
              <w:rPr>
                <w:sz w:val="24"/>
              </w:rPr>
            </w:pPr>
          </w:p>
          <w:p w:rsidR="00F44656" w:rsidRDefault="00F44656">
            <w:pPr>
              <w:jc w:val="center"/>
              <w:rPr>
                <w:sz w:val="24"/>
              </w:rPr>
            </w:pPr>
            <w:r>
              <w:rPr>
                <w:sz w:val="24"/>
              </w:rPr>
              <w:t>35,63</w:t>
            </w:r>
          </w:p>
        </w:tc>
        <w:tc>
          <w:tcPr>
            <w:tcW w:w="1292" w:type="dxa"/>
          </w:tcPr>
          <w:p w:rsidR="00F44656" w:rsidRDefault="00F44656">
            <w:pPr>
              <w:jc w:val="center"/>
              <w:rPr>
                <w:sz w:val="24"/>
              </w:rPr>
            </w:pPr>
            <w:r>
              <w:rPr>
                <w:sz w:val="24"/>
              </w:rPr>
              <w:t>40,40</w:t>
            </w:r>
          </w:p>
        </w:tc>
      </w:tr>
      <w:tr w:rsidR="00F44656">
        <w:trPr>
          <w:trHeight w:val="760"/>
        </w:trPr>
        <w:tc>
          <w:tcPr>
            <w:tcW w:w="1535" w:type="dxa"/>
          </w:tcPr>
          <w:p w:rsidR="00F44656" w:rsidRPr="00DF457C" w:rsidRDefault="00C930BF" w:rsidP="00236C6E">
            <w:pPr>
              <w:jc w:val="both"/>
              <w:rPr>
                <w:sz w:val="24"/>
              </w:rPr>
            </w:pPr>
            <m:oMathPara>
              <m:oMathParaPr>
                <m:jc m:val="left"/>
              </m:oMathParaPr>
              <m:oMath>
                <m:f>
                  <m:fPr>
                    <m:ctrlPr>
                      <w:rPr>
                        <w:rFonts w:ascii="Cambria Math" w:hAnsi="Cambria Math"/>
                        <w:sz w:val="24"/>
                      </w:rPr>
                    </m:ctrlPr>
                  </m:fPr>
                  <m:num>
                    <m:r>
                      <w:rPr>
                        <w:rFonts w:ascii="Cambria Math" w:hAnsi="Cambria Math"/>
                        <w:sz w:val="24"/>
                      </w:rPr>
                      <m:t>∑</m:t>
                    </m:r>
                    <m:sSub>
                      <m:sSubPr>
                        <m:ctrlPr>
                          <w:rPr>
                            <w:rFonts w:ascii="Cambria Math" w:hAnsi="Cambria Math"/>
                            <w:sz w:val="24"/>
                          </w:rPr>
                        </m:ctrlPr>
                      </m:sSubPr>
                      <m:e>
                        <m:r>
                          <w:rPr>
                            <w:rFonts w:ascii="Cambria Math" w:hAnsi="Cambria Math"/>
                            <w:sz w:val="24"/>
                          </w:rPr>
                          <m:t>P</m:t>
                        </m:r>
                      </m:e>
                      <m:sub>
                        <m:r>
                          <w:rPr>
                            <w:rFonts w:ascii="Cambria Math" w:hAnsi="Cambria Math"/>
                            <w:sz w:val="24"/>
                          </w:rPr>
                          <m:t>1</m:t>
                        </m:r>
                      </m:sub>
                    </m:sSub>
                  </m:num>
                  <m:den>
                    <m:r>
                      <w:rPr>
                        <w:rFonts w:ascii="Cambria Math" w:hAnsi="Cambria Math"/>
                        <w:sz w:val="24"/>
                      </w:rPr>
                      <m:t>∑N</m:t>
                    </m:r>
                  </m:den>
                </m:f>
                <m:r>
                  <w:rPr>
                    <w:rFonts w:ascii="Cambria Math" w:hAnsi="Cambria Math"/>
                    <w:sz w:val="24"/>
                  </w:rPr>
                  <m:t>×100</m:t>
                </m:r>
              </m:oMath>
            </m:oMathPara>
          </w:p>
        </w:tc>
        <w:tc>
          <w:tcPr>
            <w:tcW w:w="1291" w:type="dxa"/>
          </w:tcPr>
          <w:p w:rsidR="00F44656" w:rsidRDefault="00F44656">
            <w:pPr>
              <w:jc w:val="center"/>
              <w:rPr>
                <w:sz w:val="24"/>
              </w:rPr>
            </w:pPr>
          </w:p>
          <w:p w:rsidR="00F44656" w:rsidRDefault="00F44656">
            <w:pPr>
              <w:jc w:val="center"/>
              <w:rPr>
                <w:sz w:val="24"/>
              </w:rPr>
            </w:pPr>
            <w:r>
              <w:rPr>
                <w:sz w:val="24"/>
              </w:rPr>
              <w:t>8,99</w:t>
            </w:r>
          </w:p>
        </w:tc>
        <w:tc>
          <w:tcPr>
            <w:tcW w:w="1292" w:type="dxa"/>
          </w:tcPr>
          <w:p w:rsidR="00F44656" w:rsidRDefault="00F44656">
            <w:pPr>
              <w:jc w:val="center"/>
              <w:rPr>
                <w:sz w:val="24"/>
              </w:rPr>
            </w:pPr>
          </w:p>
          <w:p w:rsidR="00F44656" w:rsidRDefault="00F44656">
            <w:pPr>
              <w:jc w:val="center"/>
              <w:rPr>
                <w:sz w:val="24"/>
              </w:rPr>
            </w:pPr>
            <w:r>
              <w:rPr>
                <w:sz w:val="24"/>
              </w:rPr>
              <w:t>9,73</w:t>
            </w:r>
          </w:p>
        </w:tc>
        <w:tc>
          <w:tcPr>
            <w:tcW w:w="1291" w:type="dxa"/>
          </w:tcPr>
          <w:p w:rsidR="00F44656" w:rsidRDefault="00F44656">
            <w:pPr>
              <w:jc w:val="center"/>
              <w:rPr>
                <w:sz w:val="24"/>
              </w:rPr>
            </w:pPr>
          </w:p>
          <w:p w:rsidR="00F44656" w:rsidRDefault="00F44656">
            <w:pPr>
              <w:jc w:val="center"/>
              <w:rPr>
                <w:sz w:val="24"/>
              </w:rPr>
            </w:pPr>
            <w:r>
              <w:rPr>
                <w:sz w:val="24"/>
              </w:rPr>
              <w:t>9,28</w:t>
            </w:r>
          </w:p>
        </w:tc>
        <w:tc>
          <w:tcPr>
            <w:tcW w:w="1292" w:type="dxa"/>
          </w:tcPr>
          <w:p w:rsidR="00F44656" w:rsidRDefault="00F44656">
            <w:pPr>
              <w:jc w:val="center"/>
              <w:rPr>
                <w:sz w:val="24"/>
              </w:rPr>
            </w:pPr>
          </w:p>
          <w:p w:rsidR="00F44656" w:rsidRDefault="00F44656">
            <w:pPr>
              <w:jc w:val="center"/>
              <w:rPr>
                <w:sz w:val="24"/>
              </w:rPr>
            </w:pPr>
            <w:r>
              <w:rPr>
                <w:sz w:val="24"/>
              </w:rPr>
              <w:t>4,76</w:t>
            </w:r>
          </w:p>
        </w:tc>
        <w:tc>
          <w:tcPr>
            <w:tcW w:w="1291" w:type="dxa"/>
          </w:tcPr>
          <w:p w:rsidR="00F44656" w:rsidRDefault="00F44656">
            <w:pPr>
              <w:jc w:val="center"/>
              <w:rPr>
                <w:sz w:val="24"/>
              </w:rPr>
            </w:pPr>
          </w:p>
          <w:p w:rsidR="00F44656" w:rsidRDefault="00F44656">
            <w:pPr>
              <w:jc w:val="center"/>
              <w:rPr>
                <w:sz w:val="24"/>
              </w:rPr>
            </w:pPr>
            <w:r>
              <w:rPr>
                <w:sz w:val="24"/>
              </w:rPr>
              <w:t>8,77</w:t>
            </w:r>
          </w:p>
        </w:tc>
        <w:tc>
          <w:tcPr>
            <w:tcW w:w="1292" w:type="dxa"/>
          </w:tcPr>
          <w:p w:rsidR="00F44656" w:rsidRDefault="00F44656">
            <w:pPr>
              <w:jc w:val="center"/>
              <w:rPr>
                <w:sz w:val="24"/>
              </w:rPr>
            </w:pPr>
            <w:r>
              <w:rPr>
                <w:sz w:val="24"/>
              </w:rPr>
              <w:t>9,36</w:t>
            </w:r>
          </w:p>
        </w:tc>
      </w:tr>
      <w:tr w:rsidR="00F44656">
        <w:trPr>
          <w:trHeight w:val="760"/>
        </w:trPr>
        <w:tc>
          <w:tcPr>
            <w:tcW w:w="1535" w:type="dxa"/>
          </w:tcPr>
          <w:p w:rsidR="00F44656" w:rsidRPr="00DF457C" w:rsidRDefault="00C930BF" w:rsidP="00236C6E">
            <w:pPr>
              <w:jc w:val="both"/>
              <w:rPr>
                <w:sz w:val="24"/>
              </w:rPr>
            </w:pPr>
            <m:oMathPara>
              <m:oMathParaPr>
                <m:jc m:val="left"/>
              </m:oMathParaPr>
              <m:oMath>
                <m:f>
                  <m:fPr>
                    <m:ctrlPr>
                      <w:rPr>
                        <w:rFonts w:ascii="Cambria Math" w:hAnsi="Cambria Math"/>
                        <w:sz w:val="24"/>
                      </w:rPr>
                    </m:ctrlPr>
                  </m:fPr>
                  <m:num>
                    <m:r>
                      <w:rPr>
                        <w:rFonts w:ascii="Cambria Math" w:hAnsi="Cambria Math"/>
                        <w:sz w:val="24"/>
                      </w:rPr>
                      <m:t>∑</m:t>
                    </m:r>
                    <m:sSub>
                      <m:sSubPr>
                        <m:ctrlPr>
                          <w:rPr>
                            <w:rFonts w:ascii="Cambria Math" w:hAnsi="Cambria Math"/>
                            <w:sz w:val="24"/>
                          </w:rPr>
                        </m:ctrlPr>
                      </m:sSubPr>
                      <m:e>
                        <m:r>
                          <w:rPr>
                            <w:rFonts w:ascii="Cambria Math" w:hAnsi="Cambria Math"/>
                            <w:sz w:val="24"/>
                          </w:rPr>
                          <m:t>P</m:t>
                        </m:r>
                      </m:e>
                      <m:sub>
                        <m:r>
                          <w:rPr>
                            <w:rFonts w:ascii="Cambria Math" w:hAnsi="Cambria Math"/>
                            <w:sz w:val="24"/>
                          </w:rPr>
                          <m:t>2</m:t>
                        </m:r>
                      </m:sub>
                    </m:sSub>
                  </m:num>
                  <m:den>
                    <m:r>
                      <w:rPr>
                        <w:rFonts w:ascii="Cambria Math" w:hAnsi="Cambria Math"/>
                        <w:sz w:val="24"/>
                      </w:rPr>
                      <m:t>∑N</m:t>
                    </m:r>
                  </m:den>
                </m:f>
                <m:r>
                  <w:rPr>
                    <w:rFonts w:ascii="Cambria Math" w:hAnsi="Cambria Math"/>
                    <w:sz w:val="24"/>
                  </w:rPr>
                  <m:t>×100</m:t>
                </m:r>
              </m:oMath>
            </m:oMathPara>
          </w:p>
        </w:tc>
        <w:tc>
          <w:tcPr>
            <w:tcW w:w="1291" w:type="dxa"/>
          </w:tcPr>
          <w:p w:rsidR="00F44656" w:rsidRDefault="00F44656">
            <w:pPr>
              <w:jc w:val="center"/>
              <w:rPr>
                <w:sz w:val="24"/>
              </w:rPr>
            </w:pPr>
          </w:p>
          <w:p w:rsidR="00F44656" w:rsidRDefault="00F44656">
            <w:pPr>
              <w:jc w:val="center"/>
              <w:rPr>
                <w:sz w:val="24"/>
              </w:rPr>
            </w:pPr>
            <w:r>
              <w:rPr>
                <w:sz w:val="24"/>
              </w:rPr>
              <w:t>25,14</w:t>
            </w:r>
          </w:p>
        </w:tc>
        <w:tc>
          <w:tcPr>
            <w:tcW w:w="1292" w:type="dxa"/>
          </w:tcPr>
          <w:p w:rsidR="00F44656" w:rsidRDefault="00F44656">
            <w:pPr>
              <w:jc w:val="center"/>
              <w:rPr>
                <w:sz w:val="24"/>
              </w:rPr>
            </w:pPr>
          </w:p>
          <w:p w:rsidR="00F44656" w:rsidRDefault="00F44656">
            <w:pPr>
              <w:jc w:val="center"/>
              <w:rPr>
                <w:sz w:val="24"/>
              </w:rPr>
            </w:pPr>
            <w:r>
              <w:rPr>
                <w:sz w:val="24"/>
              </w:rPr>
              <w:t>22,38</w:t>
            </w:r>
          </w:p>
        </w:tc>
        <w:tc>
          <w:tcPr>
            <w:tcW w:w="1291" w:type="dxa"/>
          </w:tcPr>
          <w:p w:rsidR="00F44656" w:rsidRDefault="00F44656">
            <w:pPr>
              <w:jc w:val="center"/>
              <w:rPr>
                <w:sz w:val="24"/>
              </w:rPr>
            </w:pPr>
          </w:p>
          <w:p w:rsidR="00F44656" w:rsidRDefault="00F44656">
            <w:pPr>
              <w:jc w:val="center"/>
              <w:rPr>
                <w:sz w:val="24"/>
              </w:rPr>
            </w:pPr>
            <w:r>
              <w:rPr>
                <w:sz w:val="24"/>
              </w:rPr>
              <w:t>26,12</w:t>
            </w:r>
          </w:p>
        </w:tc>
        <w:tc>
          <w:tcPr>
            <w:tcW w:w="1292" w:type="dxa"/>
          </w:tcPr>
          <w:p w:rsidR="00F44656" w:rsidRDefault="00F44656">
            <w:pPr>
              <w:jc w:val="center"/>
              <w:rPr>
                <w:sz w:val="24"/>
              </w:rPr>
            </w:pPr>
          </w:p>
          <w:p w:rsidR="00F44656" w:rsidRDefault="00F44656">
            <w:pPr>
              <w:jc w:val="center"/>
              <w:rPr>
                <w:sz w:val="24"/>
              </w:rPr>
            </w:pPr>
            <w:r>
              <w:rPr>
                <w:sz w:val="24"/>
              </w:rPr>
              <w:t>31,24</w:t>
            </w:r>
          </w:p>
        </w:tc>
        <w:tc>
          <w:tcPr>
            <w:tcW w:w="1291" w:type="dxa"/>
          </w:tcPr>
          <w:p w:rsidR="00F44656" w:rsidRDefault="00F44656">
            <w:pPr>
              <w:jc w:val="center"/>
              <w:rPr>
                <w:sz w:val="24"/>
              </w:rPr>
            </w:pPr>
          </w:p>
          <w:p w:rsidR="00F44656" w:rsidRDefault="00F44656">
            <w:pPr>
              <w:jc w:val="center"/>
              <w:rPr>
                <w:sz w:val="24"/>
              </w:rPr>
            </w:pPr>
            <w:r>
              <w:rPr>
                <w:sz w:val="24"/>
              </w:rPr>
              <w:t>21,49</w:t>
            </w:r>
          </w:p>
        </w:tc>
        <w:tc>
          <w:tcPr>
            <w:tcW w:w="1292" w:type="dxa"/>
          </w:tcPr>
          <w:p w:rsidR="00F44656" w:rsidRDefault="00F44656">
            <w:pPr>
              <w:jc w:val="center"/>
              <w:rPr>
                <w:sz w:val="24"/>
              </w:rPr>
            </w:pPr>
            <w:r>
              <w:rPr>
                <w:sz w:val="24"/>
              </w:rPr>
              <w:t>25,79</w:t>
            </w:r>
          </w:p>
        </w:tc>
      </w:tr>
      <w:tr w:rsidR="00F44656">
        <w:trPr>
          <w:trHeight w:val="760"/>
        </w:trPr>
        <w:tc>
          <w:tcPr>
            <w:tcW w:w="1535" w:type="dxa"/>
          </w:tcPr>
          <w:p w:rsidR="00F44656" w:rsidRPr="00DF457C" w:rsidRDefault="00C930BF" w:rsidP="00236C6E">
            <w:pPr>
              <w:jc w:val="both"/>
              <w:rPr>
                <w:sz w:val="24"/>
              </w:rPr>
            </w:pPr>
            <m:oMathPara>
              <m:oMathParaPr>
                <m:jc m:val="left"/>
              </m:oMathParaPr>
              <m:oMath>
                <m:f>
                  <m:fPr>
                    <m:ctrlPr>
                      <w:rPr>
                        <w:rFonts w:ascii="Cambria Math" w:hAnsi="Cambria Math"/>
                        <w:sz w:val="24"/>
                      </w:rPr>
                    </m:ctrlPr>
                  </m:fPr>
                  <m:num>
                    <m:r>
                      <w:rPr>
                        <w:rFonts w:ascii="Cambria Math" w:hAnsi="Cambria Math"/>
                        <w:sz w:val="24"/>
                      </w:rPr>
                      <m:t>∑</m:t>
                    </m:r>
                    <m:sSub>
                      <m:sSubPr>
                        <m:ctrlPr>
                          <w:rPr>
                            <w:rFonts w:ascii="Cambria Math" w:hAnsi="Cambria Math"/>
                            <w:sz w:val="24"/>
                          </w:rPr>
                        </m:ctrlPr>
                      </m:sSubPr>
                      <m:e>
                        <m:r>
                          <w:rPr>
                            <w:rFonts w:ascii="Cambria Math" w:hAnsi="Cambria Math"/>
                            <w:sz w:val="24"/>
                          </w:rPr>
                          <m:t>P</m:t>
                        </m:r>
                      </m:e>
                      <m:sub>
                        <m:r>
                          <w:rPr>
                            <w:rFonts w:ascii="Cambria Math" w:hAnsi="Cambria Math"/>
                            <w:sz w:val="24"/>
                          </w:rPr>
                          <m:t>3</m:t>
                        </m:r>
                      </m:sub>
                    </m:sSub>
                  </m:num>
                  <m:den>
                    <m:r>
                      <w:rPr>
                        <w:rFonts w:ascii="Cambria Math" w:hAnsi="Cambria Math"/>
                        <w:sz w:val="24"/>
                      </w:rPr>
                      <m:t>∑N</m:t>
                    </m:r>
                  </m:den>
                </m:f>
                <m:r>
                  <w:rPr>
                    <w:rFonts w:ascii="Cambria Math" w:hAnsi="Cambria Math"/>
                    <w:sz w:val="24"/>
                  </w:rPr>
                  <m:t>×100</m:t>
                </m:r>
              </m:oMath>
            </m:oMathPara>
          </w:p>
        </w:tc>
        <w:tc>
          <w:tcPr>
            <w:tcW w:w="1291" w:type="dxa"/>
          </w:tcPr>
          <w:p w:rsidR="00F44656" w:rsidRDefault="00F44656">
            <w:pPr>
              <w:jc w:val="center"/>
              <w:rPr>
                <w:sz w:val="24"/>
              </w:rPr>
            </w:pPr>
          </w:p>
          <w:p w:rsidR="00F44656" w:rsidRDefault="00F44656">
            <w:pPr>
              <w:jc w:val="center"/>
              <w:rPr>
                <w:sz w:val="24"/>
              </w:rPr>
            </w:pPr>
            <w:r>
              <w:rPr>
                <w:sz w:val="24"/>
              </w:rPr>
              <w:t>0,86</w:t>
            </w:r>
          </w:p>
        </w:tc>
        <w:tc>
          <w:tcPr>
            <w:tcW w:w="1292" w:type="dxa"/>
          </w:tcPr>
          <w:p w:rsidR="00F44656" w:rsidRDefault="00F44656">
            <w:pPr>
              <w:jc w:val="center"/>
              <w:rPr>
                <w:sz w:val="24"/>
              </w:rPr>
            </w:pPr>
          </w:p>
          <w:p w:rsidR="00F44656" w:rsidRDefault="00F44656">
            <w:pPr>
              <w:jc w:val="center"/>
              <w:rPr>
                <w:sz w:val="24"/>
              </w:rPr>
            </w:pPr>
            <w:r>
              <w:rPr>
                <w:sz w:val="24"/>
              </w:rPr>
              <w:t>1,69</w:t>
            </w:r>
          </w:p>
        </w:tc>
        <w:tc>
          <w:tcPr>
            <w:tcW w:w="1291" w:type="dxa"/>
          </w:tcPr>
          <w:p w:rsidR="00F44656" w:rsidRDefault="00F44656">
            <w:pPr>
              <w:jc w:val="center"/>
              <w:rPr>
                <w:sz w:val="24"/>
              </w:rPr>
            </w:pPr>
          </w:p>
          <w:p w:rsidR="00F44656" w:rsidRDefault="00F44656">
            <w:pPr>
              <w:jc w:val="center"/>
              <w:rPr>
                <w:sz w:val="24"/>
              </w:rPr>
            </w:pPr>
            <w:r>
              <w:rPr>
                <w:sz w:val="24"/>
              </w:rPr>
              <w:t>1,15</w:t>
            </w:r>
          </w:p>
        </w:tc>
        <w:tc>
          <w:tcPr>
            <w:tcW w:w="1292" w:type="dxa"/>
          </w:tcPr>
          <w:p w:rsidR="00F44656" w:rsidRDefault="00F44656">
            <w:pPr>
              <w:jc w:val="center"/>
              <w:rPr>
                <w:sz w:val="24"/>
              </w:rPr>
            </w:pPr>
          </w:p>
          <w:p w:rsidR="00F44656" w:rsidRDefault="00F44656">
            <w:pPr>
              <w:jc w:val="center"/>
              <w:rPr>
                <w:sz w:val="24"/>
              </w:rPr>
            </w:pPr>
            <w:r>
              <w:rPr>
                <w:sz w:val="24"/>
              </w:rPr>
              <w:t>1,62</w:t>
            </w:r>
          </w:p>
        </w:tc>
        <w:tc>
          <w:tcPr>
            <w:tcW w:w="1291" w:type="dxa"/>
          </w:tcPr>
          <w:p w:rsidR="00F44656" w:rsidRDefault="00F44656">
            <w:pPr>
              <w:jc w:val="center"/>
              <w:rPr>
                <w:sz w:val="24"/>
              </w:rPr>
            </w:pPr>
          </w:p>
          <w:p w:rsidR="00F44656" w:rsidRDefault="00F44656">
            <w:pPr>
              <w:jc w:val="center"/>
              <w:rPr>
                <w:sz w:val="24"/>
              </w:rPr>
            </w:pPr>
            <w:r>
              <w:rPr>
                <w:sz w:val="24"/>
              </w:rPr>
              <w:t>1,561</w:t>
            </w:r>
          </w:p>
        </w:tc>
        <w:tc>
          <w:tcPr>
            <w:tcW w:w="1292" w:type="dxa"/>
          </w:tcPr>
          <w:p w:rsidR="00F44656" w:rsidRDefault="00F44656">
            <w:pPr>
              <w:jc w:val="center"/>
              <w:rPr>
                <w:sz w:val="24"/>
              </w:rPr>
            </w:pPr>
            <w:r>
              <w:rPr>
                <w:sz w:val="24"/>
              </w:rPr>
              <w:t>0,76</w:t>
            </w:r>
          </w:p>
        </w:tc>
      </w:tr>
      <w:tr w:rsidR="00F44656">
        <w:trPr>
          <w:trHeight w:val="760"/>
        </w:trPr>
        <w:tc>
          <w:tcPr>
            <w:tcW w:w="1535" w:type="dxa"/>
          </w:tcPr>
          <w:p w:rsidR="00F44656" w:rsidRPr="00DF457C" w:rsidRDefault="00C930BF" w:rsidP="00236C6E">
            <w:pPr>
              <w:jc w:val="both"/>
              <w:rPr>
                <w:sz w:val="24"/>
              </w:rPr>
            </w:pPr>
            <m:oMathPara>
              <m:oMathParaPr>
                <m:jc m:val="left"/>
              </m:oMathParaPr>
              <m:oMath>
                <m:f>
                  <m:fPr>
                    <m:ctrlPr>
                      <w:rPr>
                        <w:rFonts w:ascii="Cambria Math" w:hAnsi="Cambria Math"/>
                        <w:sz w:val="24"/>
                      </w:rPr>
                    </m:ctrlPr>
                  </m:fPr>
                  <m:num>
                    <m:r>
                      <w:rPr>
                        <w:rFonts w:ascii="Cambria Math" w:hAnsi="Cambria Math"/>
                        <w:sz w:val="24"/>
                      </w:rPr>
                      <m:t>∑</m:t>
                    </m:r>
                    <m:sSub>
                      <m:sSubPr>
                        <m:ctrlPr>
                          <w:rPr>
                            <w:rFonts w:ascii="Cambria Math" w:hAnsi="Cambria Math"/>
                            <w:sz w:val="24"/>
                          </w:rPr>
                        </m:ctrlPr>
                      </m:sSubPr>
                      <m:e>
                        <m:r>
                          <w:rPr>
                            <w:rFonts w:ascii="Cambria Math" w:hAnsi="Cambria Math"/>
                            <w:sz w:val="24"/>
                          </w:rPr>
                          <m:t>P</m:t>
                        </m:r>
                      </m:e>
                      <m:sub>
                        <m:r>
                          <w:rPr>
                            <w:rFonts w:ascii="Cambria Math" w:hAnsi="Cambria Math"/>
                            <w:sz w:val="24"/>
                          </w:rPr>
                          <m:t>4</m:t>
                        </m:r>
                      </m:sub>
                    </m:sSub>
                  </m:num>
                  <m:den>
                    <m:r>
                      <w:rPr>
                        <w:rFonts w:ascii="Cambria Math" w:hAnsi="Cambria Math"/>
                        <w:sz w:val="24"/>
                      </w:rPr>
                      <m:t>∑N</m:t>
                    </m:r>
                  </m:den>
                </m:f>
                <m:r>
                  <w:rPr>
                    <w:rFonts w:ascii="Cambria Math" w:hAnsi="Cambria Math"/>
                    <w:sz w:val="24"/>
                  </w:rPr>
                  <m:t>×100</m:t>
                </m:r>
              </m:oMath>
            </m:oMathPara>
          </w:p>
        </w:tc>
        <w:tc>
          <w:tcPr>
            <w:tcW w:w="1291" w:type="dxa"/>
          </w:tcPr>
          <w:p w:rsidR="00F44656" w:rsidRDefault="00F44656">
            <w:pPr>
              <w:jc w:val="center"/>
              <w:rPr>
                <w:sz w:val="24"/>
              </w:rPr>
            </w:pPr>
          </w:p>
          <w:p w:rsidR="00F44656" w:rsidRDefault="00F44656">
            <w:pPr>
              <w:jc w:val="center"/>
              <w:rPr>
                <w:sz w:val="24"/>
              </w:rPr>
            </w:pPr>
            <w:r>
              <w:rPr>
                <w:sz w:val="24"/>
              </w:rPr>
              <w:t>4,71</w:t>
            </w:r>
          </w:p>
        </w:tc>
        <w:tc>
          <w:tcPr>
            <w:tcW w:w="1292" w:type="dxa"/>
          </w:tcPr>
          <w:p w:rsidR="00F44656" w:rsidRDefault="00F44656">
            <w:pPr>
              <w:jc w:val="center"/>
              <w:rPr>
                <w:sz w:val="24"/>
              </w:rPr>
            </w:pPr>
          </w:p>
          <w:p w:rsidR="00F44656" w:rsidRDefault="00F44656">
            <w:pPr>
              <w:jc w:val="center"/>
              <w:rPr>
                <w:sz w:val="24"/>
              </w:rPr>
            </w:pPr>
            <w:r>
              <w:rPr>
                <w:sz w:val="24"/>
              </w:rPr>
              <w:t>3,97</w:t>
            </w:r>
          </w:p>
        </w:tc>
        <w:tc>
          <w:tcPr>
            <w:tcW w:w="1291" w:type="dxa"/>
          </w:tcPr>
          <w:p w:rsidR="00F44656" w:rsidRDefault="00F44656">
            <w:pPr>
              <w:jc w:val="center"/>
              <w:rPr>
                <w:sz w:val="24"/>
              </w:rPr>
            </w:pPr>
          </w:p>
          <w:p w:rsidR="00F44656" w:rsidRDefault="00F44656">
            <w:pPr>
              <w:jc w:val="center"/>
              <w:rPr>
                <w:sz w:val="24"/>
              </w:rPr>
            </w:pPr>
            <w:r>
              <w:rPr>
                <w:sz w:val="24"/>
              </w:rPr>
              <w:t>4,11</w:t>
            </w:r>
          </w:p>
        </w:tc>
        <w:tc>
          <w:tcPr>
            <w:tcW w:w="1292" w:type="dxa"/>
          </w:tcPr>
          <w:p w:rsidR="00F44656" w:rsidRDefault="00F44656">
            <w:pPr>
              <w:jc w:val="center"/>
              <w:rPr>
                <w:sz w:val="24"/>
              </w:rPr>
            </w:pPr>
          </w:p>
          <w:p w:rsidR="00F44656" w:rsidRDefault="00F44656">
            <w:pPr>
              <w:jc w:val="center"/>
              <w:rPr>
                <w:sz w:val="24"/>
              </w:rPr>
            </w:pPr>
            <w:r>
              <w:rPr>
                <w:sz w:val="24"/>
              </w:rPr>
              <w:t>5,52</w:t>
            </w:r>
          </w:p>
        </w:tc>
        <w:tc>
          <w:tcPr>
            <w:tcW w:w="1291" w:type="dxa"/>
          </w:tcPr>
          <w:p w:rsidR="00F44656" w:rsidRDefault="00F44656">
            <w:pPr>
              <w:jc w:val="center"/>
              <w:rPr>
                <w:sz w:val="24"/>
              </w:rPr>
            </w:pPr>
          </w:p>
          <w:p w:rsidR="00F44656" w:rsidRDefault="00F44656">
            <w:pPr>
              <w:jc w:val="center"/>
              <w:rPr>
                <w:sz w:val="24"/>
              </w:rPr>
            </w:pPr>
            <w:r>
              <w:rPr>
                <w:sz w:val="24"/>
              </w:rPr>
              <w:t>3,86</w:t>
            </w:r>
          </w:p>
        </w:tc>
        <w:tc>
          <w:tcPr>
            <w:tcW w:w="1292" w:type="dxa"/>
          </w:tcPr>
          <w:p w:rsidR="00F44656" w:rsidRDefault="00F44656">
            <w:pPr>
              <w:jc w:val="center"/>
              <w:rPr>
                <w:sz w:val="24"/>
              </w:rPr>
            </w:pPr>
            <w:r>
              <w:rPr>
                <w:sz w:val="24"/>
              </w:rPr>
              <w:t>4,49</w:t>
            </w:r>
          </w:p>
        </w:tc>
      </w:tr>
      <w:tr w:rsidR="00F44656">
        <w:trPr>
          <w:trHeight w:val="340"/>
        </w:trPr>
        <w:tc>
          <w:tcPr>
            <w:tcW w:w="1535" w:type="dxa"/>
          </w:tcPr>
          <w:p w:rsidR="00F44656" w:rsidRDefault="00F44656" w:rsidP="00236C6E">
            <w:pPr>
              <w:jc w:val="both"/>
              <w:rPr>
                <w:sz w:val="24"/>
              </w:rPr>
            </w:pPr>
            <w:r>
              <w:rPr>
                <w:sz w:val="24"/>
              </w:rPr>
              <w:t xml:space="preserve"> i       </w:t>
            </w:r>
          </w:p>
        </w:tc>
        <w:tc>
          <w:tcPr>
            <w:tcW w:w="1291" w:type="dxa"/>
          </w:tcPr>
          <w:p w:rsidR="00F44656" w:rsidRDefault="00F44656">
            <w:pPr>
              <w:jc w:val="center"/>
              <w:rPr>
                <w:sz w:val="24"/>
              </w:rPr>
            </w:pPr>
            <w:r>
              <w:rPr>
                <w:sz w:val="24"/>
              </w:rPr>
              <w:t>26,00</w:t>
            </w:r>
          </w:p>
        </w:tc>
        <w:tc>
          <w:tcPr>
            <w:tcW w:w="1292" w:type="dxa"/>
          </w:tcPr>
          <w:p w:rsidR="00F44656" w:rsidRDefault="00F44656">
            <w:pPr>
              <w:jc w:val="center"/>
              <w:rPr>
                <w:sz w:val="24"/>
              </w:rPr>
            </w:pPr>
            <w:r>
              <w:rPr>
                <w:sz w:val="24"/>
              </w:rPr>
              <w:t>24,08</w:t>
            </w:r>
          </w:p>
        </w:tc>
        <w:tc>
          <w:tcPr>
            <w:tcW w:w="1291" w:type="dxa"/>
          </w:tcPr>
          <w:p w:rsidR="00F44656" w:rsidRDefault="00F44656">
            <w:pPr>
              <w:jc w:val="center"/>
              <w:rPr>
                <w:sz w:val="24"/>
              </w:rPr>
            </w:pPr>
            <w:r>
              <w:rPr>
                <w:sz w:val="24"/>
              </w:rPr>
              <w:t>27,27</w:t>
            </w:r>
          </w:p>
        </w:tc>
        <w:tc>
          <w:tcPr>
            <w:tcW w:w="1292" w:type="dxa"/>
          </w:tcPr>
          <w:p w:rsidR="00F44656" w:rsidRDefault="00F44656">
            <w:pPr>
              <w:jc w:val="center"/>
              <w:rPr>
                <w:sz w:val="24"/>
              </w:rPr>
            </w:pPr>
            <w:r>
              <w:rPr>
                <w:sz w:val="24"/>
              </w:rPr>
              <w:t>32,86</w:t>
            </w:r>
          </w:p>
        </w:tc>
        <w:tc>
          <w:tcPr>
            <w:tcW w:w="1291" w:type="dxa"/>
          </w:tcPr>
          <w:p w:rsidR="00F44656" w:rsidRDefault="00F44656">
            <w:pPr>
              <w:jc w:val="center"/>
              <w:rPr>
                <w:sz w:val="24"/>
              </w:rPr>
            </w:pPr>
            <w:r>
              <w:rPr>
                <w:sz w:val="24"/>
              </w:rPr>
              <w:t>22,99</w:t>
            </w:r>
          </w:p>
        </w:tc>
        <w:tc>
          <w:tcPr>
            <w:tcW w:w="1292" w:type="dxa"/>
          </w:tcPr>
          <w:p w:rsidR="00F44656" w:rsidRDefault="00F44656">
            <w:pPr>
              <w:jc w:val="center"/>
              <w:rPr>
                <w:sz w:val="24"/>
              </w:rPr>
            </w:pPr>
            <w:r>
              <w:rPr>
                <w:sz w:val="24"/>
              </w:rPr>
              <w:t>26,55</w:t>
            </w:r>
          </w:p>
        </w:tc>
      </w:tr>
      <w:tr w:rsidR="00F44656">
        <w:trPr>
          <w:trHeight w:val="340"/>
        </w:trPr>
        <w:tc>
          <w:tcPr>
            <w:tcW w:w="1535" w:type="dxa"/>
          </w:tcPr>
          <w:p w:rsidR="00F44656" w:rsidRDefault="00F44656" w:rsidP="00236C6E">
            <w:pPr>
              <w:jc w:val="both"/>
              <w:rPr>
                <w:sz w:val="24"/>
              </w:rPr>
            </w:pPr>
            <w:r>
              <w:rPr>
                <w:sz w:val="24"/>
              </w:rPr>
              <w:t xml:space="preserve"> h</w:t>
            </w:r>
          </w:p>
        </w:tc>
        <w:tc>
          <w:tcPr>
            <w:tcW w:w="1291" w:type="dxa"/>
          </w:tcPr>
          <w:p w:rsidR="00F44656" w:rsidRDefault="00F44656">
            <w:pPr>
              <w:jc w:val="center"/>
              <w:rPr>
                <w:sz w:val="24"/>
              </w:rPr>
            </w:pPr>
            <w:r>
              <w:rPr>
                <w:sz w:val="24"/>
              </w:rPr>
              <w:t>65,54</w:t>
            </w:r>
          </w:p>
        </w:tc>
        <w:tc>
          <w:tcPr>
            <w:tcW w:w="1292" w:type="dxa"/>
          </w:tcPr>
          <w:p w:rsidR="00F44656" w:rsidRDefault="00F44656">
            <w:pPr>
              <w:jc w:val="center"/>
              <w:rPr>
                <w:sz w:val="24"/>
              </w:rPr>
            </w:pPr>
            <w:r>
              <w:rPr>
                <w:sz w:val="24"/>
              </w:rPr>
              <w:t>63,75</w:t>
            </w:r>
          </w:p>
        </w:tc>
        <w:tc>
          <w:tcPr>
            <w:tcW w:w="1291" w:type="dxa"/>
          </w:tcPr>
          <w:p w:rsidR="00F44656" w:rsidRDefault="00F44656">
            <w:pPr>
              <w:jc w:val="center"/>
              <w:rPr>
                <w:sz w:val="24"/>
              </w:rPr>
            </w:pPr>
            <w:r>
              <w:rPr>
                <w:sz w:val="24"/>
              </w:rPr>
              <w:t>67,14</w:t>
            </w:r>
          </w:p>
        </w:tc>
        <w:tc>
          <w:tcPr>
            <w:tcW w:w="1292" w:type="dxa"/>
          </w:tcPr>
          <w:p w:rsidR="00F44656" w:rsidRDefault="00F44656">
            <w:pPr>
              <w:jc w:val="center"/>
              <w:rPr>
                <w:sz w:val="24"/>
              </w:rPr>
            </w:pPr>
            <w:r>
              <w:rPr>
                <w:sz w:val="24"/>
              </w:rPr>
              <w:t>76,16</w:t>
            </w:r>
          </w:p>
        </w:tc>
        <w:tc>
          <w:tcPr>
            <w:tcW w:w="1291" w:type="dxa"/>
          </w:tcPr>
          <w:p w:rsidR="00F44656" w:rsidRDefault="00F44656">
            <w:pPr>
              <w:jc w:val="center"/>
              <w:rPr>
                <w:sz w:val="24"/>
              </w:rPr>
            </w:pPr>
            <w:r>
              <w:rPr>
                <w:sz w:val="24"/>
              </w:rPr>
              <w:t>64,55</w:t>
            </w:r>
          </w:p>
        </w:tc>
        <w:tc>
          <w:tcPr>
            <w:tcW w:w="1292" w:type="dxa"/>
          </w:tcPr>
          <w:p w:rsidR="00F44656" w:rsidRDefault="00F44656">
            <w:pPr>
              <w:jc w:val="center"/>
              <w:rPr>
                <w:sz w:val="24"/>
              </w:rPr>
            </w:pPr>
            <w:r>
              <w:rPr>
                <w:sz w:val="24"/>
              </w:rPr>
              <w:t>65,72</w:t>
            </w:r>
          </w:p>
        </w:tc>
      </w:tr>
      <w:tr w:rsidR="00F44656">
        <w:trPr>
          <w:trHeight w:val="340"/>
        </w:trPr>
        <w:tc>
          <w:tcPr>
            <w:tcW w:w="1535" w:type="dxa"/>
          </w:tcPr>
          <w:p w:rsidR="00F44656" w:rsidRDefault="00F44656" w:rsidP="00236C6E">
            <w:pPr>
              <w:jc w:val="both"/>
              <w:rPr>
                <w:sz w:val="24"/>
              </w:rPr>
            </w:pPr>
            <w:r>
              <w:rPr>
                <w:sz w:val="24"/>
              </w:rPr>
              <w:t xml:space="preserve"> o</w:t>
            </w:r>
          </w:p>
        </w:tc>
        <w:tc>
          <w:tcPr>
            <w:tcW w:w="1291" w:type="dxa"/>
          </w:tcPr>
          <w:p w:rsidR="00F44656" w:rsidRDefault="00F44656">
            <w:pPr>
              <w:jc w:val="center"/>
              <w:rPr>
                <w:sz w:val="24"/>
              </w:rPr>
            </w:pPr>
            <w:r>
              <w:rPr>
                <w:sz w:val="24"/>
              </w:rPr>
              <w:t>11,81</w:t>
            </w:r>
          </w:p>
        </w:tc>
        <w:tc>
          <w:tcPr>
            <w:tcW w:w="1292" w:type="dxa"/>
          </w:tcPr>
          <w:p w:rsidR="00F44656" w:rsidRDefault="00F44656">
            <w:pPr>
              <w:jc w:val="center"/>
              <w:rPr>
                <w:sz w:val="24"/>
              </w:rPr>
            </w:pPr>
            <w:r>
              <w:rPr>
                <w:sz w:val="24"/>
              </w:rPr>
              <w:t>10,50</w:t>
            </w:r>
          </w:p>
        </w:tc>
        <w:tc>
          <w:tcPr>
            <w:tcW w:w="1291" w:type="dxa"/>
          </w:tcPr>
          <w:p w:rsidR="00F44656" w:rsidRDefault="00F44656">
            <w:pPr>
              <w:jc w:val="center"/>
              <w:rPr>
                <w:sz w:val="24"/>
              </w:rPr>
            </w:pPr>
            <w:r>
              <w:rPr>
                <w:sz w:val="24"/>
              </w:rPr>
              <w:t>10,09</w:t>
            </w:r>
          </w:p>
        </w:tc>
        <w:tc>
          <w:tcPr>
            <w:tcW w:w="1292" w:type="dxa"/>
          </w:tcPr>
          <w:p w:rsidR="00F44656" w:rsidRDefault="00F44656">
            <w:pPr>
              <w:jc w:val="center"/>
              <w:rPr>
                <w:sz w:val="24"/>
              </w:rPr>
            </w:pPr>
            <w:r>
              <w:rPr>
                <w:sz w:val="24"/>
              </w:rPr>
              <w:t>12,80</w:t>
            </w:r>
          </w:p>
        </w:tc>
        <w:tc>
          <w:tcPr>
            <w:tcW w:w="1291" w:type="dxa"/>
          </w:tcPr>
          <w:p w:rsidR="00F44656" w:rsidRDefault="00F44656">
            <w:pPr>
              <w:jc w:val="center"/>
              <w:rPr>
                <w:sz w:val="24"/>
              </w:rPr>
            </w:pPr>
            <w:r>
              <w:rPr>
                <w:sz w:val="24"/>
              </w:rPr>
              <w:t>10,85</w:t>
            </w:r>
          </w:p>
        </w:tc>
        <w:tc>
          <w:tcPr>
            <w:tcW w:w="1292" w:type="dxa"/>
          </w:tcPr>
          <w:p w:rsidR="00F44656" w:rsidRDefault="00F44656">
            <w:pPr>
              <w:jc w:val="center"/>
              <w:rPr>
                <w:sz w:val="24"/>
              </w:rPr>
            </w:pPr>
            <w:r>
              <w:rPr>
                <w:sz w:val="24"/>
              </w:rPr>
              <w:t>11,11</w:t>
            </w:r>
          </w:p>
        </w:tc>
      </w:tr>
    </w:tbl>
    <w:p w:rsidR="00F44656" w:rsidRDefault="00F44656"/>
    <w:p w:rsidR="00F44656" w:rsidRDefault="00F44656">
      <w:pPr>
        <w:spacing w:line="360" w:lineRule="auto"/>
        <w:rPr>
          <w:sz w:val="24"/>
        </w:rPr>
      </w:pPr>
    </w:p>
    <w:p w:rsidR="00F44656" w:rsidRDefault="00F44656">
      <w:pPr>
        <w:spacing w:line="360" w:lineRule="auto"/>
        <w:rPr>
          <w:sz w:val="24"/>
        </w:rPr>
      </w:pPr>
      <w:r>
        <w:rPr>
          <w:sz w:val="24"/>
        </w:rPr>
        <w:t xml:space="preserve">   Z vypočtených hodnot ze zřejmé, že celková obtížnost výkladových textů se pohybuje v rozmezí od 28,91 bodu </w:t>
      </w:r>
      <w:r>
        <w:rPr>
          <w:sz w:val="24"/>
          <w:lang w:val="en-US"/>
        </w:rPr>
        <w:t xml:space="preserve">(učebnice </w:t>
      </w:r>
      <w:r>
        <w:rPr>
          <w:sz w:val="24"/>
        </w:rPr>
        <w:t>nakladatelství SCIENTIA</w:t>
      </w:r>
      <w:r>
        <w:rPr>
          <w:sz w:val="24"/>
          <w:lang w:val="en-US"/>
        </w:rPr>
        <w:t>)</w:t>
      </w:r>
      <w:r>
        <w:rPr>
          <w:sz w:val="24"/>
        </w:rPr>
        <w:t xml:space="preserve"> do 38,69 bodu </w:t>
      </w:r>
      <w:r>
        <w:rPr>
          <w:sz w:val="24"/>
          <w:lang w:val="en-US"/>
        </w:rPr>
        <w:t xml:space="preserve">(učebnice </w:t>
      </w:r>
      <w:r>
        <w:rPr>
          <w:sz w:val="24"/>
        </w:rPr>
        <w:t>nakladatelství PRODOS</w:t>
      </w:r>
      <w:r>
        <w:rPr>
          <w:sz w:val="24"/>
          <w:lang w:val="en-US"/>
        </w:rPr>
        <w:t>)</w:t>
      </w:r>
      <w:r>
        <w:rPr>
          <w:sz w:val="24"/>
        </w:rPr>
        <w:t xml:space="preserve">. U učebnic ostatních nakladatelství jsou tyto hodnoty dosti vyrovnané. Vypočtené hodnoty syntaktického faktoru učebnic jednotlivých nakladatelství dosahují od 5,47 bodu do 10,12 bodu a hodnoty sémantického faktoru činí 18,79 bodu až 31,06 bodu, což ukazuje na nevyrovnanou délku větných celků. Podle zjištěných hodnot celkové pojmové obtížnosti učebnic jednotlivých nakladatelství lze konstatovat, že hodnoty se dost liší a pohybují se od 35,63 % </w:t>
      </w:r>
      <w:r>
        <w:rPr>
          <w:sz w:val="24"/>
          <w:lang w:val="en-US"/>
        </w:rPr>
        <w:t>(</w:t>
      </w:r>
      <w:r>
        <w:rPr>
          <w:sz w:val="24"/>
        </w:rPr>
        <w:t>nakladatelství SCIENTIA</w:t>
      </w:r>
      <w:r>
        <w:rPr>
          <w:sz w:val="24"/>
          <w:lang w:val="en-US"/>
        </w:rPr>
        <w:t xml:space="preserve">) do  43,13 </w:t>
      </w:r>
      <w:r>
        <w:rPr>
          <w:sz w:val="24"/>
        </w:rPr>
        <w:t xml:space="preserve">% </w:t>
      </w:r>
      <w:r>
        <w:rPr>
          <w:sz w:val="24"/>
          <w:lang w:val="en-US"/>
        </w:rPr>
        <w:t>(</w:t>
      </w:r>
      <w:r>
        <w:rPr>
          <w:sz w:val="24"/>
        </w:rPr>
        <w:t>nakladatelství PRODOS</w:t>
      </w:r>
      <w:r>
        <w:rPr>
          <w:sz w:val="24"/>
          <w:lang w:val="en-US"/>
        </w:rPr>
        <w:t>)</w:t>
      </w:r>
      <w:r>
        <w:rPr>
          <w:sz w:val="24"/>
        </w:rPr>
        <w:t xml:space="preserve">. Zatížení učebnic běžnými pojmy dosahuje od 4,76 % </w:t>
      </w:r>
      <w:r>
        <w:rPr>
          <w:sz w:val="24"/>
          <w:lang w:val="en-US"/>
        </w:rPr>
        <w:t>(</w:t>
      </w:r>
      <w:r>
        <w:rPr>
          <w:sz w:val="24"/>
        </w:rPr>
        <w:t>nakladatelství PRODOS</w:t>
      </w:r>
      <w:r>
        <w:rPr>
          <w:sz w:val="24"/>
          <w:lang w:val="en-US"/>
        </w:rPr>
        <w:t>)</w:t>
      </w:r>
      <w:r>
        <w:rPr>
          <w:sz w:val="24"/>
        </w:rPr>
        <w:t xml:space="preserve"> do 9,73 % </w:t>
      </w:r>
      <w:r>
        <w:rPr>
          <w:sz w:val="24"/>
          <w:lang w:val="en-US"/>
        </w:rPr>
        <w:t>(</w:t>
      </w:r>
      <w:r>
        <w:rPr>
          <w:sz w:val="24"/>
        </w:rPr>
        <w:t>nakladatelství JINAN</w:t>
      </w:r>
      <w:r>
        <w:rPr>
          <w:sz w:val="24"/>
          <w:lang w:val="en-US"/>
        </w:rPr>
        <w:t>)</w:t>
      </w:r>
      <w:r>
        <w:rPr>
          <w:sz w:val="24"/>
        </w:rPr>
        <w:t>, což představuje široký interval. Zastoupení odborných pojmů se pohybuje od 21,49</w:t>
      </w:r>
      <w:r>
        <w:rPr>
          <w:sz w:val="24"/>
        </w:rPr>
        <w:sym w:font="Symbol" w:char="F020"/>
      </w:r>
      <w:r>
        <w:rPr>
          <w:sz w:val="24"/>
        </w:rPr>
        <w:t xml:space="preserve">% </w:t>
      </w:r>
      <w:r>
        <w:rPr>
          <w:sz w:val="24"/>
          <w:lang w:val="en-US"/>
        </w:rPr>
        <w:t>(</w:t>
      </w:r>
      <w:r>
        <w:rPr>
          <w:sz w:val="24"/>
        </w:rPr>
        <w:t xml:space="preserve">nakladatelství SCIENTIA) do 31,24 % (nakladatelství PRODOS). Výskyt faktografických a číselných pojmů je u analyzovaných učebnic velmi nízký a pohybuje se od 0,76 % do 1,69 %. Na rozdíl od této kategorie se opakované pojmy vyskytují v učebnicích ve větší míře, tj. od 3,86 % </w:t>
      </w:r>
      <w:r>
        <w:rPr>
          <w:sz w:val="24"/>
          <w:lang w:val="en-US"/>
        </w:rPr>
        <w:t>(</w:t>
      </w:r>
      <w:r>
        <w:rPr>
          <w:sz w:val="24"/>
        </w:rPr>
        <w:t>učebnice nakladatelství SCIENTIA</w:t>
      </w:r>
      <w:r>
        <w:rPr>
          <w:sz w:val="24"/>
          <w:lang w:val="en-US"/>
        </w:rPr>
        <w:t xml:space="preserve">) do 5,52 </w:t>
      </w:r>
      <w:r>
        <w:rPr>
          <w:sz w:val="24"/>
        </w:rPr>
        <w:t>%</w:t>
      </w:r>
      <w:r>
        <w:rPr>
          <w:sz w:val="24"/>
          <w:lang w:val="en-US"/>
        </w:rPr>
        <w:t xml:space="preserve"> (</w:t>
      </w:r>
      <w:r>
        <w:rPr>
          <w:sz w:val="24"/>
        </w:rPr>
        <w:t>učebnice nakladatelství PRODOS</w:t>
      </w:r>
      <w:r>
        <w:rPr>
          <w:sz w:val="24"/>
          <w:lang w:val="en-US"/>
        </w:rPr>
        <w:t>)</w:t>
      </w:r>
      <w:r>
        <w:rPr>
          <w:sz w:val="24"/>
        </w:rPr>
        <w:t>.</w:t>
      </w:r>
    </w:p>
    <w:p w:rsidR="00F44656" w:rsidRDefault="00F44656">
      <w:pPr>
        <w:spacing w:line="360" w:lineRule="auto"/>
        <w:rPr>
          <w:sz w:val="24"/>
        </w:rPr>
      </w:pPr>
      <w:r>
        <w:rPr>
          <w:sz w:val="24"/>
        </w:rPr>
        <w:t xml:space="preserve">   Koeficient hustoty odborné informace </w:t>
      </w:r>
      <w:r>
        <w:rPr>
          <w:sz w:val="24"/>
          <w:lang w:val="en-US"/>
        </w:rPr>
        <w:t>(i)</w:t>
      </w:r>
      <w:r>
        <w:rPr>
          <w:sz w:val="24"/>
        </w:rPr>
        <w:t xml:space="preserve"> se pohybuje od 22,99 % </w:t>
      </w:r>
      <w:r>
        <w:rPr>
          <w:sz w:val="24"/>
          <w:lang w:val="en-US"/>
        </w:rPr>
        <w:t>(</w:t>
      </w:r>
      <w:r>
        <w:rPr>
          <w:sz w:val="24"/>
        </w:rPr>
        <w:t>nakladatelství SCIENTIA</w:t>
      </w:r>
      <w:r>
        <w:rPr>
          <w:sz w:val="24"/>
          <w:lang w:val="en-US"/>
        </w:rPr>
        <w:t>)</w:t>
      </w:r>
      <w:r>
        <w:rPr>
          <w:sz w:val="24"/>
        </w:rPr>
        <w:t xml:space="preserve"> do 32,86 % </w:t>
      </w:r>
      <w:r>
        <w:rPr>
          <w:sz w:val="24"/>
          <w:lang w:val="en-US"/>
        </w:rPr>
        <w:t>(</w:t>
      </w:r>
      <w:r>
        <w:rPr>
          <w:sz w:val="24"/>
        </w:rPr>
        <w:t>nakladatelství PRODOS</w:t>
      </w:r>
      <w:r>
        <w:rPr>
          <w:sz w:val="24"/>
          <w:lang w:val="en-US"/>
        </w:rPr>
        <w:t>)</w:t>
      </w:r>
      <w:r>
        <w:rPr>
          <w:sz w:val="24"/>
        </w:rPr>
        <w:t xml:space="preserve">. Další koeficient hustoty odborné informace </w:t>
      </w:r>
      <w:r>
        <w:rPr>
          <w:sz w:val="24"/>
          <w:lang w:val="en-US"/>
        </w:rPr>
        <w:t>(</w:t>
      </w:r>
      <w:r>
        <w:rPr>
          <w:sz w:val="24"/>
        </w:rPr>
        <w:t>h</w:t>
      </w:r>
      <w:r>
        <w:rPr>
          <w:sz w:val="24"/>
          <w:lang w:val="en-US"/>
        </w:rPr>
        <w:t>)</w:t>
      </w:r>
      <w:r>
        <w:rPr>
          <w:sz w:val="24"/>
        </w:rPr>
        <w:t xml:space="preserve"> dosahuje od 63,75 %  (nakladatelství JINAN) do 76,16 % (</w:t>
      </w:r>
      <w:r w:rsidR="0033304B">
        <w:rPr>
          <w:sz w:val="24"/>
        </w:rPr>
        <w:t xml:space="preserve"> </w:t>
      </w:r>
      <w:r>
        <w:rPr>
          <w:sz w:val="24"/>
        </w:rPr>
        <w:t>nakladatelství PRODOS). Tyto zjištěn</w:t>
      </w:r>
      <w:r w:rsidR="009B39D7">
        <w:rPr>
          <w:sz w:val="24"/>
        </w:rPr>
        <w:t>é rozdílné hodnoty koeficientů "</w:t>
      </w:r>
      <w:r>
        <w:rPr>
          <w:sz w:val="24"/>
        </w:rPr>
        <w:t>i</w:t>
      </w:r>
      <w:r w:rsidR="009B39D7">
        <w:rPr>
          <w:sz w:val="24"/>
        </w:rPr>
        <w:t>"</w:t>
      </w:r>
      <w:r>
        <w:rPr>
          <w:sz w:val="24"/>
        </w:rPr>
        <w:t xml:space="preserve"> a </w:t>
      </w:r>
      <w:r w:rsidR="009B39D7">
        <w:rPr>
          <w:sz w:val="24"/>
        </w:rPr>
        <w:t>"</w:t>
      </w:r>
      <w:r>
        <w:rPr>
          <w:sz w:val="24"/>
        </w:rPr>
        <w:t xml:space="preserve">h </w:t>
      </w:r>
      <w:r w:rsidR="009B39D7">
        <w:rPr>
          <w:sz w:val="24"/>
        </w:rPr>
        <w:t xml:space="preserve">" </w:t>
      </w:r>
      <w:r>
        <w:rPr>
          <w:sz w:val="24"/>
        </w:rPr>
        <w:t xml:space="preserve">ukazují na nevyrovnané pojmové zatížení učebnic běžnými pojmy, odbornými pojmy a také opakovanými pojmy. </w:t>
      </w:r>
      <w:r>
        <w:rPr>
          <w:sz w:val="24"/>
        </w:rPr>
        <w:lastRenderedPageBreak/>
        <w:t>Koeficient hustoty opakovaných pojmů se pohybuje v intervalu od 10,09 % (nakladatelství NOVÁ ŠKOLA) do 12,80 % (nakladatelství PRODOS</w:t>
      </w:r>
      <w:r w:rsidR="0033304B">
        <w:rPr>
          <w:sz w:val="24"/>
        </w:rPr>
        <w:t xml:space="preserve"> </w:t>
      </w:r>
      <w:r>
        <w:rPr>
          <w:sz w:val="24"/>
        </w:rPr>
        <w:t>).</w:t>
      </w:r>
    </w:p>
    <w:p w:rsidR="00F44656" w:rsidRDefault="00F44656">
      <w:pPr>
        <w:spacing w:line="360" w:lineRule="auto"/>
        <w:rPr>
          <w:sz w:val="24"/>
        </w:rPr>
      </w:pPr>
      <w:r>
        <w:rPr>
          <w:sz w:val="24"/>
        </w:rPr>
        <w:t xml:space="preserve">   V grafu 1 je znázorněna proporce syntaktického a sémantického faktoru k celkové obtížnosti výkladových textů jednotlivých učebnic.</w:t>
      </w:r>
    </w:p>
    <w:p w:rsidR="00F44656" w:rsidRDefault="00F44656">
      <w:pPr>
        <w:spacing w:line="360" w:lineRule="auto"/>
        <w:rPr>
          <w:sz w:val="24"/>
        </w:rPr>
      </w:pPr>
    </w:p>
    <w:p w:rsidR="00F44656" w:rsidRDefault="00F44656">
      <w:pPr>
        <w:spacing w:line="360" w:lineRule="auto"/>
        <w:rPr>
          <w:sz w:val="24"/>
        </w:rPr>
      </w:pPr>
    </w:p>
    <w:p w:rsidR="00F44656" w:rsidRDefault="00F44656">
      <w:pPr>
        <w:spacing w:line="360" w:lineRule="auto"/>
        <w:rPr>
          <w:sz w:val="24"/>
        </w:rPr>
      </w:pPr>
    </w:p>
    <w:p w:rsidR="00F44656" w:rsidRDefault="00F44656">
      <w:pPr>
        <w:spacing w:line="360" w:lineRule="auto"/>
        <w:rPr>
          <w:sz w:val="24"/>
        </w:rPr>
      </w:pPr>
    </w:p>
    <w:p w:rsidR="00F44656" w:rsidRDefault="00F44656">
      <w:pPr>
        <w:spacing w:line="360" w:lineRule="auto"/>
        <w:rPr>
          <w:sz w:val="24"/>
        </w:rPr>
      </w:pPr>
    </w:p>
    <w:p w:rsidR="00F44656" w:rsidRDefault="00F44656">
      <w:pPr>
        <w:spacing w:line="360" w:lineRule="auto"/>
        <w:rPr>
          <w:sz w:val="24"/>
        </w:rPr>
      </w:pPr>
    </w:p>
    <w:p w:rsidR="00F44656" w:rsidRDefault="00F44656">
      <w:pPr>
        <w:rPr>
          <w:sz w:val="24"/>
        </w:rPr>
      </w:pPr>
      <w:r>
        <w:rPr>
          <w:sz w:val="24"/>
        </w:rPr>
        <w:t>Graf 1.</w:t>
      </w:r>
    </w:p>
    <w:p w:rsidR="00F44656" w:rsidRDefault="00F44656">
      <w:r>
        <w:rPr>
          <w:sz w:val="24"/>
        </w:rPr>
        <w:t>Podíl syntaktického (T</w:t>
      </w:r>
      <w:r>
        <w:rPr>
          <w:sz w:val="24"/>
          <w:vertAlign w:val="subscript"/>
        </w:rPr>
        <w:t>s</w:t>
      </w:r>
      <w:r>
        <w:rPr>
          <w:sz w:val="24"/>
        </w:rPr>
        <w:t>)  a sémantického faktoru (T</w:t>
      </w:r>
      <w:r>
        <w:rPr>
          <w:sz w:val="24"/>
          <w:vertAlign w:val="subscript"/>
        </w:rPr>
        <w:t>p</w:t>
      </w:r>
      <w:r>
        <w:rPr>
          <w:sz w:val="24"/>
        </w:rPr>
        <w:t>) na celkové obtížnosti  výkladového textu (T) učebnic přírodopisu pro 6. ročník ZŠ  -  hodnocení dle HRABÍ</w:t>
      </w:r>
    </w:p>
    <w:p w:rsidR="00F44656" w:rsidRDefault="006A080C">
      <w:pPr>
        <w:rPr>
          <w:sz w:val="24"/>
        </w:rPr>
      </w:pPr>
      <w:r>
        <w:rPr>
          <w:noProof/>
        </w:rPr>
        <w:drawing>
          <wp:inline distT="0" distB="0" distL="0" distR="0">
            <wp:extent cx="5670550" cy="3152775"/>
            <wp:effectExtent l="0" t="0" r="0" b="0"/>
            <wp:docPr id="22" name="objekt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44656" w:rsidRDefault="00F44656">
      <w:pPr>
        <w:spacing w:line="360" w:lineRule="auto"/>
        <w:rPr>
          <w:sz w:val="24"/>
        </w:rPr>
      </w:pPr>
      <w:r>
        <w:rPr>
          <w:sz w:val="24"/>
        </w:rPr>
        <w:t xml:space="preserve">                                                                                      </w:t>
      </w:r>
    </w:p>
    <w:p w:rsidR="00F44656" w:rsidRDefault="00F44656">
      <w:pPr>
        <w:spacing w:line="360" w:lineRule="auto"/>
        <w:rPr>
          <w:sz w:val="24"/>
        </w:rPr>
      </w:pPr>
      <w:r>
        <w:rPr>
          <w:sz w:val="24"/>
        </w:rPr>
        <w:t xml:space="preserve"> Z grafu je zřejmé, že celková nejvyšší obtížnost textu byla zjištěna u učebnic nakladatelství PRODOS a výrazně nižšími obdobnými hodnotami se vyznačují učebnice nakladatelství FORTUNA</w:t>
      </w:r>
      <w:r w:rsidR="0033304B">
        <w:rPr>
          <w:sz w:val="24"/>
        </w:rPr>
        <w:t xml:space="preserve"> </w:t>
      </w:r>
      <w:r>
        <w:rPr>
          <w:sz w:val="24"/>
        </w:rPr>
        <w:t>, SPN, NOVÁ ŠKOLA</w:t>
      </w:r>
      <w:r w:rsidR="0033304B">
        <w:rPr>
          <w:sz w:val="24"/>
        </w:rPr>
        <w:t xml:space="preserve"> </w:t>
      </w:r>
      <w:r>
        <w:rPr>
          <w:sz w:val="24"/>
        </w:rPr>
        <w:t>, JINAN a nejnižší obtížností se vyznačuje učebnice nakladatelství SCIENTIA.</w:t>
      </w:r>
    </w:p>
    <w:p w:rsidR="00F44656" w:rsidRDefault="00F44656">
      <w:pPr>
        <w:spacing w:line="360" w:lineRule="auto"/>
        <w:rPr>
          <w:sz w:val="24"/>
        </w:rPr>
      </w:pPr>
    </w:p>
    <w:p w:rsidR="00F44656" w:rsidRDefault="00F44656">
      <w:pPr>
        <w:spacing w:line="360" w:lineRule="auto"/>
        <w:rPr>
          <w:b/>
          <w:sz w:val="24"/>
        </w:rPr>
      </w:pPr>
      <w:r>
        <w:rPr>
          <w:b/>
          <w:sz w:val="24"/>
        </w:rPr>
        <w:t>Závěr</w:t>
      </w:r>
    </w:p>
    <w:p w:rsidR="00F44656" w:rsidRDefault="00F44656">
      <w:pPr>
        <w:spacing w:line="360" w:lineRule="auto"/>
        <w:rPr>
          <w:sz w:val="24"/>
        </w:rPr>
      </w:pPr>
      <w:r>
        <w:rPr>
          <w:sz w:val="24"/>
        </w:rPr>
        <w:t xml:space="preserve">   Ze získaných hodnot celkové obtížnosti výkladového textu analyzovaných  učebnic přírodopisu pro 6. ročník ZŠ použitým postupem vyplývá, že nejnižší hodnota celkové obtížnosti byla zjištěna u učebnice nakladatelství SCIENTIA (28,91 bodu). Koeficient hustoty </w:t>
      </w:r>
      <w:r>
        <w:rPr>
          <w:sz w:val="24"/>
        </w:rPr>
        <w:lastRenderedPageBreak/>
        <w:t>opakovaných pojmů je velmi vysoký, ale zároveň poměrně vyrovnaný</w:t>
      </w:r>
      <w:r w:rsidR="0033304B">
        <w:rPr>
          <w:sz w:val="24"/>
        </w:rPr>
        <w:t xml:space="preserve"> </w:t>
      </w:r>
      <w:r>
        <w:rPr>
          <w:sz w:val="24"/>
        </w:rPr>
        <w:t>, pohybuje se od 10,09 % do 12,80 %.</w:t>
      </w:r>
    </w:p>
    <w:p w:rsidR="00F44656" w:rsidRDefault="00F44656">
      <w:pPr>
        <w:spacing w:line="360" w:lineRule="auto"/>
        <w:rPr>
          <w:sz w:val="24"/>
        </w:rPr>
      </w:pPr>
      <w:r>
        <w:rPr>
          <w:sz w:val="24"/>
        </w:rPr>
        <w:t xml:space="preserve">Z uskutečněných analýz textů učebnic je zřejmé, že pro výuku žáků s průměrným nadáním je vhodné používat učebnice nakladatelství SCIENTIA </w:t>
      </w:r>
      <w:r w:rsidR="00291691">
        <w:rPr>
          <w:sz w:val="24"/>
        </w:rPr>
        <w:t xml:space="preserve">(PSČ 341 05) </w:t>
      </w:r>
      <w:r>
        <w:rPr>
          <w:sz w:val="24"/>
        </w:rPr>
        <w:t xml:space="preserve">i ostatních čtyř, avšak učebnice nakladatelství PRODOS </w:t>
      </w:r>
      <w:r w:rsidR="00291691">
        <w:rPr>
          <w:sz w:val="24"/>
        </w:rPr>
        <w:t xml:space="preserve">(PSČ 118 01) </w:t>
      </w:r>
      <w:r>
        <w:rPr>
          <w:sz w:val="24"/>
        </w:rPr>
        <w:t>jsou vhodnější pro výuku na víceletých gymnáziích.</w:t>
      </w:r>
    </w:p>
    <w:p w:rsidR="00F44656" w:rsidRDefault="00F44656"/>
    <w:p w:rsidR="00F44656" w:rsidRDefault="00F44656">
      <w:pPr>
        <w:spacing w:line="360" w:lineRule="auto"/>
        <w:rPr>
          <w:sz w:val="24"/>
        </w:rPr>
      </w:pPr>
    </w:p>
    <w:p w:rsidR="00F44656" w:rsidRDefault="00F44656">
      <w:pPr>
        <w:spacing w:line="360" w:lineRule="auto"/>
        <w:rPr>
          <w:sz w:val="24"/>
        </w:rPr>
      </w:pPr>
    </w:p>
    <w:p w:rsidR="00F44656" w:rsidRDefault="00F44656">
      <w:pPr>
        <w:spacing w:line="360" w:lineRule="auto"/>
        <w:rPr>
          <w:sz w:val="24"/>
        </w:rPr>
      </w:pPr>
    </w:p>
    <w:p w:rsidR="00F44656" w:rsidRDefault="00F44656">
      <w:pPr>
        <w:spacing w:line="360" w:lineRule="auto"/>
        <w:rPr>
          <w:sz w:val="24"/>
        </w:rPr>
      </w:pPr>
    </w:p>
    <w:p w:rsidR="00F44656" w:rsidRDefault="00F44656">
      <w:pPr>
        <w:spacing w:line="360" w:lineRule="auto"/>
        <w:rPr>
          <w:sz w:val="24"/>
        </w:rPr>
      </w:pPr>
    </w:p>
    <w:p w:rsidR="00F44656" w:rsidRDefault="00F44656">
      <w:pPr>
        <w:spacing w:line="360" w:lineRule="auto"/>
        <w:rPr>
          <w:b/>
          <w:sz w:val="24"/>
        </w:rPr>
      </w:pPr>
      <w:r>
        <w:rPr>
          <w:b/>
          <w:sz w:val="24"/>
        </w:rPr>
        <w:t>Literatura</w:t>
      </w:r>
    </w:p>
    <w:p w:rsidR="00F44656" w:rsidRDefault="00F44656">
      <w:pPr>
        <w:spacing w:line="360" w:lineRule="auto"/>
        <w:ind w:left="360"/>
        <w:jc w:val="both"/>
        <w:rPr>
          <w:sz w:val="24"/>
        </w:rPr>
      </w:pPr>
      <w:r>
        <w:rPr>
          <w:sz w:val="24"/>
        </w:rPr>
        <w:t xml:space="preserve"> </w:t>
      </w:r>
    </w:p>
    <w:p w:rsidR="00F44656" w:rsidRPr="00236C6E" w:rsidRDefault="00236C6E" w:rsidP="00236C6E">
      <w:pPr>
        <w:pStyle w:val="Odstavecseseznamem"/>
        <w:numPr>
          <w:ilvl w:val="0"/>
          <w:numId w:val="2"/>
        </w:numPr>
        <w:spacing w:line="360" w:lineRule="auto"/>
        <w:rPr>
          <w:sz w:val="24"/>
        </w:rPr>
      </w:pPr>
      <w:proofErr w:type="spellStart"/>
      <w:r w:rsidRPr="00236C6E">
        <w:rPr>
          <w:sz w:val="24"/>
        </w:rPr>
        <w:t>Černík</w:t>
      </w:r>
      <w:r w:rsidR="00F44656" w:rsidRPr="00236C6E">
        <w:rPr>
          <w:sz w:val="24"/>
        </w:rPr>
        <w:t>,V</w:t>
      </w:r>
      <w:proofErr w:type="spellEnd"/>
      <w:r w:rsidR="0033304B" w:rsidRPr="00236C6E">
        <w:rPr>
          <w:sz w:val="24"/>
        </w:rPr>
        <w:t xml:space="preserve"> </w:t>
      </w:r>
      <w:r w:rsidR="00F44656" w:rsidRPr="00236C6E">
        <w:rPr>
          <w:sz w:val="24"/>
        </w:rPr>
        <w:t xml:space="preserve">., </w:t>
      </w:r>
      <w:proofErr w:type="spellStart"/>
      <w:proofErr w:type="gramStart"/>
      <w:r w:rsidRPr="00236C6E">
        <w:rPr>
          <w:sz w:val="24"/>
        </w:rPr>
        <w:t>Bičík,V</w:t>
      </w:r>
      <w:proofErr w:type="spellEnd"/>
      <w:r w:rsidRPr="00236C6E">
        <w:rPr>
          <w:sz w:val="24"/>
        </w:rPr>
        <w:t>., Martinec</w:t>
      </w:r>
      <w:proofErr w:type="gramEnd"/>
      <w:r w:rsidR="00F44656" w:rsidRPr="00236C6E">
        <w:rPr>
          <w:sz w:val="24"/>
        </w:rPr>
        <w:t>, Z. Přírodopis 1. Praha: SPN, 1999.</w:t>
      </w:r>
    </w:p>
    <w:p w:rsidR="00F44656" w:rsidRPr="00236C6E" w:rsidRDefault="00236C6E" w:rsidP="00236C6E">
      <w:pPr>
        <w:pStyle w:val="Odstavecseseznamem"/>
        <w:numPr>
          <w:ilvl w:val="0"/>
          <w:numId w:val="2"/>
        </w:numPr>
        <w:spacing w:line="360" w:lineRule="auto"/>
        <w:rPr>
          <w:sz w:val="24"/>
        </w:rPr>
      </w:pPr>
      <w:proofErr w:type="spellStart"/>
      <w:proofErr w:type="gramStart"/>
      <w:r w:rsidRPr="00236C6E">
        <w:rPr>
          <w:sz w:val="24"/>
        </w:rPr>
        <w:t>Dobroruka</w:t>
      </w:r>
      <w:proofErr w:type="spellEnd"/>
      <w:r w:rsidRPr="00236C6E">
        <w:rPr>
          <w:sz w:val="24"/>
        </w:rPr>
        <w:t xml:space="preserve"> , L . J.</w:t>
      </w:r>
      <w:proofErr w:type="gramEnd"/>
      <w:r w:rsidRPr="00236C6E">
        <w:rPr>
          <w:sz w:val="24"/>
        </w:rPr>
        <w:t xml:space="preserve">, </w:t>
      </w:r>
      <w:proofErr w:type="spellStart"/>
      <w:r w:rsidRPr="00236C6E">
        <w:rPr>
          <w:sz w:val="24"/>
        </w:rPr>
        <w:t>Cílek</w:t>
      </w:r>
      <w:proofErr w:type="spellEnd"/>
      <w:r w:rsidRPr="00236C6E">
        <w:rPr>
          <w:sz w:val="24"/>
        </w:rPr>
        <w:t xml:space="preserve">, V., </w:t>
      </w:r>
      <w:proofErr w:type="spellStart"/>
      <w:r w:rsidRPr="00236C6E">
        <w:rPr>
          <w:sz w:val="24"/>
        </w:rPr>
        <w:t>Hasch</w:t>
      </w:r>
      <w:proofErr w:type="spellEnd"/>
      <w:r w:rsidRPr="00236C6E">
        <w:rPr>
          <w:sz w:val="24"/>
        </w:rPr>
        <w:t>, F., Storchová</w:t>
      </w:r>
      <w:r w:rsidR="00F44656" w:rsidRPr="00236C6E">
        <w:rPr>
          <w:sz w:val="24"/>
        </w:rPr>
        <w:t xml:space="preserve">, Z. Přírodopis I.   Praha: </w:t>
      </w:r>
      <w:proofErr w:type="spellStart"/>
      <w:r w:rsidR="00F44656" w:rsidRPr="00236C6E">
        <w:rPr>
          <w:sz w:val="24"/>
        </w:rPr>
        <w:t>Scientia</w:t>
      </w:r>
      <w:proofErr w:type="spellEnd"/>
      <w:r w:rsidR="00F44656" w:rsidRPr="00236C6E">
        <w:rPr>
          <w:sz w:val="24"/>
        </w:rPr>
        <w:t>, 1997.</w:t>
      </w:r>
    </w:p>
    <w:p w:rsidR="00F44656" w:rsidRPr="00236C6E" w:rsidRDefault="00236C6E" w:rsidP="00236C6E">
      <w:pPr>
        <w:pStyle w:val="Odstavecseseznamem"/>
        <w:numPr>
          <w:ilvl w:val="0"/>
          <w:numId w:val="2"/>
        </w:numPr>
        <w:spacing w:line="360" w:lineRule="auto"/>
        <w:rPr>
          <w:sz w:val="24"/>
        </w:rPr>
      </w:pPr>
      <w:r w:rsidRPr="00236C6E">
        <w:rPr>
          <w:sz w:val="24"/>
        </w:rPr>
        <w:t>Havlík</w:t>
      </w:r>
      <w:r w:rsidR="00F44656" w:rsidRPr="00236C6E">
        <w:rPr>
          <w:sz w:val="24"/>
        </w:rPr>
        <w:t>, I. Přírodopis 6. Brno: Nová škola, 1998.</w:t>
      </w:r>
    </w:p>
    <w:p w:rsidR="00F44656" w:rsidRPr="00236C6E" w:rsidRDefault="00236C6E" w:rsidP="00236C6E">
      <w:pPr>
        <w:pStyle w:val="Odstavecseseznamem"/>
        <w:numPr>
          <w:ilvl w:val="0"/>
          <w:numId w:val="2"/>
        </w:numPr>
        <w:spacing w:line="360" w:lineRule="auto"/>
        <w:rPr>
          <w:sz w:val="24"/>
        </w:rPr>
      </w:pPr>
      <w:r w:rsidRPr="00236C6E">
        <w:rPr>
          <w:sz w:val="24"/>
        </w:rPr>
        <w:t>Jurčák, J., Froněk</w:t>
      </w:r>
      <w:r w:rsidR="00F44656" w:rsidRPr="00236C6E">
        <w:rPr>
          <w:sz w:val="24"/>
        </w:rPr>
        <w:t xml:space="preserve">, J. a kol. Přírodopis 6. Olomouc: </w:t>
      </w:r>
      <w:proofErr w:type="spellStart"/>
      <w:r w:rsidR="00F44656" w:rsidRPr="00236C6E">
        <w:rPr>
          <w:sz w:val="24"/>
        </w:rPr>
        <w:t>Prodos</w:t>
      </w:r>
      <w:proofErr w:type="spellEnd"/>
      <w:r w:rsidR="00F44656" w:rsidRPr="00236C6E">
        <w:rPr>
          <w:sz w:val="24"/>
        </w:rPr>
        <w:t>, 1999.</w:t>
      </w:r>
    </w:p>
    <w:p w:rsidR="00F44656" w:rsidRPr="00236C6E" w:rsidRDefault="00236C6E" w:rsidP="00236C6E">
      <w:pPr>
        <w:pStyle w:val="Odstavecseseznamem"/>
        <w:numPr>
          <w:ilvl w:val="0"/>
          <w:numId w:val="2"/>
        </w:numPr>
        <w:spacing w:line="360" w:lineRule="auto"/>
        <w:rPr>
          <w:sz w:val="24"/>
        </w:rPr>
      </w:pPr>
      <w:r w:rsidRPr="00236C6E">
        <w:rPr>
          <w:sz w:val="24"/>
        </w:rPr>
        <w:t>Kočárek</w:t>
      </w:r>
      <w:r w:rsidR="00F44656" w:rsidRPr="00236C6E">
        <w:rPr>
          <w:sz w:val="24"/>
        </w:rPr>
        <w:t xml:space="preserve">, E. </w:t>
      </w:r>
      <w:proofErr w:type="gramStart"/>
      <w:r w:rsidR="00F44656" w:rsidRPr="00236C6E">
        <w:rPr>
          <w:sz w:val="24"/>
        </w:rPr>
        <w:t>st.</w:t>
      </w:r>
      <w:proofErr w:type="gramEnd"/>
      <w:r w:rsidR="00F44656" w:rsidRPr="00236C6E">
        <w:rPr>
          <w:sz w:val="24"/>
        </w:rPr>
        <w:t xml:space="preserve">, </w:t>
      </w:r>
      <w:r w:rsidRPr="00236C6E">
        <w:rPr>
          <w:sz w:val="24"/>
        </w:rPr>
        <w:t xml:space="preserve">Kočárek, </w:t>
      </w:r>
      <w:r w:rsidR="00F44656" w:rsidRPr="00236C6E">
        <w:rPr>
          <w:sz w:val="24"/>
        </w:rPr>
        <w:t>E. ml. Přírodopis pro 6. ročník základní školy.      Praha: Jinan, 2000.</w:t>
      </w:r>
    </w:p>
    <w:p w:rsidR="00F44656" w:rsidRPr="00236C6E" w:rsidRDefault="00236C6E" w:rsidP="00236C6E">
      <w:pPr>
        <w:pStyle w:val="Odstavecseseznamem"/>
        <w:numPr>
          <w:ilvl w:val="0"/>
          <w:numId w:val="2"/>
        </w:numPr>
        <w:spacing w:line="360" w:lineRule="auto"/>
        <w:rPr>
          <w:sz w:val="24"/>
        </w:rPr>
      </w:pPr>
      <w:r w:rsidRPr="00236C6E">
        <w:rPr>
          <w:sz w:val="24"/>
        </w:rPr>
        <w:t>Kvasničková, D., Jeník J., Pecina, P., Froněk, J., Cais, J</w:t>
      </w:r>
      <w:r w:rsidR="00F44656" w:rsidRPr="00236C6E">
        <w:rPr>
          <w:sz w:val="24"/>
        </w:rPr>
        <w:t>. Ekologický                  přírodopis 6. Praha: Fortuna, 1997.</w:t>
      </w:r>
    </w:p>
    <w:p w:rsidR="00F44656" w:rsidRPr="00236C6E" w:rsidRDefault="00236C6E" w:rsidP="00236C6E">
      <w:pPr>
        <w:pStyle w:val="Odstavecseseznamem"/>
        <w:numPr>
          <w:ilvl w:val="0"/>
          <w:numId w:val="2"/>
        </w:numPr>
        <w:spacing w:line="360" w:lineRule="auto"/>
        <w:rPr>
          <w:sz w:val="24"/>
        </w:rPr>
      </w:pPr>
      <w:proofErr w:type="spellStart"/>
      <w:r w:rsidRPr="00236C6E">
        <w:rPr>
          <w:sz w:val="24"/>
        </w:rPr>
        <w:t>Pluskal</w:t>
      </w:r>
      <w:proofErr w:type="spellEnd"/>
      <w:r w:rsidR="00F44656" w:rsidRPr="00236C6E">
        <w:rPr>
          <w:sz w:val="24"/>
        </w:rPr>
        <w:t>, M. Měření obtížnosti didaktických textů</w:t>
      </w:r>
      <w:r w:rsidR="0033304B" w:rsidRPr="00236C6E">
        <w:rPr>
          <w:sz w:val="24"/>
        </w:rPr>
        <w:t>. In</w:t>
      </w:r>
      <w:r w:rsidR="00F44656" w:rsidRPr="00236C6E">
        <w:rPr>
          <w:sz w:val="24"/>
        </w:rPr>
        <w:t xml:space="preserve"> Český pedagogický výzkum v současných společenských podmínkách. Brno: CERM, 1997, s. 88</w:t>
      </w:r>
      <w:r w:rsidR="00F44656" w:rsidRPr="00236C6E">
        <w:rPr>
          <w:sz w:val="24"/>
        </w:rPr>
        <w:sym w:font="Symbol" w:char="F02D"/>
      </w:r>
      <w:r w:rsidR="00F44656" w:rsidRPr="00236C6E">
        <w:rPr>
          <w:sz w:val="24"/>
        </w:rPr>
        <w:t>91.</w:t>
      </w:r>
    </w:p>
    <w:p w:rsidR="00F44656" w:rsidRPr="00236C6E" w:rsidRDefault="00236C6E" w:rsidP="00236C6E">
      <w:pPr>
        <w:pStyle w:val="Odstavecseseznamem"/>
        <w:numPr>
          <w:ilvl w:val="0"/>
          <w:numId w:val="2"/>
        </w:numPr>
        <w:spacing w:line="360" w:lineRule="auto"/>
        <w:rPr>
          <w:sz w:val="24"/>
        </w:rPr>
      </w:pPr>
      <w:r w:rsidRPr="00236C6E">
        <w:rPr>
          <w:sz w:val="24"/>
        </w:rPr>
        <w:t>Průcha</w:t>
      </w:r>
      <w:r w:rsidR="00F44656" w:rsidRPr="00236C6E">
        <w:rPr>
          <w:sz w:val="24"/>
        </w:rPr>
        <w:t xml:space="preserve">, J. Hodnocení obtížnosti učebnic. Praha: SNTL, 1984. </w:t>
      </w:r>
    </w:p>
    <w:p w:rsidR="00F44656" w:rsidRPr="00236C6E" w:rsidRDefault="00236C6E" w:rsidP="00236C6E">
      <w:pPr>
        <w:pStyle w:val="Odstavecseseznamem"/>
        <w:numPr>
          <w:ilvl w:val="0"/>
          <w:numId w:val="2"/>
        </w:numPr>
        <w:spacing w:line="360" w:lineRule="auto"/>
        <w:rPr>
          <w:sz w:val="24"/>
        </w:rPr>
      </w:pPr>
      <w:r w:rsidRPr="00236C6E">
        <w:rPr>
          <w:sz w:val="24"/>
        </w:rPr>
        <w:t>Průcha</w:t>
      </w:r>
      <w:r w:rsidR="00F44656" w:rsidRPr="00236C6E">
        <w:rPr>
          <w:sz w:val="24"/>
        </w:rPr>
        <w:t>, J. Moderní pedagogika. Praha: Portál, 1997.</w:t>
      </w:r>
    </w:p>
    <w:p w:rsidR="00F44656" w:rsidRDefault="00F44656" w:rsidP="00236C6E">
      <w:pPr>
        <w:spacing w:line="360" w:lineRule="auto"/>
        <w:jc w:val="both"/>
      </w:pPr>
    </w:p>
    <w:p w:rsidR="00F44656" w:rsidRDefault="00DF457C">
      <w:pPr>
        <w:pStyle w:val="Nadpis2"/>
      </w:pPr>
      <w:r>
        <w:t>Autorka:</w:t>
      </w:r>
    </w:p>
    <w:p w:rsidR="00DF457C" w:rsidRPr="00DF457C" w:rsidRDefault="00DF457C" w:rsidP="00DF457C">
      <w:pPr>
        <w:spacing w:line="360" w:lineRule="auto"/>
        <w:rPr>
          <w:sz w:val="24"/>
        </w:rPr>
      </w:pPr>
      <w:r w:rsidRPr="00DF457C">
        <w:rPr>
          <w:sz w:val="24"/>
        </w:rPr>
        <w:t xml:space="preserve">doc. PhDr. Jana Nováková, CSc., Katedra teoretických základů pedagogiky a analýz,  </w:t>
      </w:r>
      <w:proofErr w:type="spellStart"/>
      <w:r w:rsidRPr="00DF457C">
        <w:rPr>
          <w:sz w:val="24"/>
        </w:rPr>
        <w:t>PdF</w:t>
      </w:r>
      <w:proofErr w:type="spellEnd"/>
      <w:r w:rsidRPr="00DF457C">
        <w:rPr>
          <w:sz w:val="24"/>
        </w:rPr>
        <w:t xml:space="preserve"> UK Praha, M. D. Rettigové 4, 110 01 Praha 1</w:t>
      </w:r>
    </w:p>
    <w:p w:rsidR="00F44656" w:rsidRDefault="00F44656" w:rsidP="00DF457C">
      <w:pPr>
        <w:pStyle w:val="Nadpis2"/>
      </w:pPr>
    </w:p>
    <w:p w:rsidR="00F44656" w:rsidRDefault="00F44656">
      <w:pPr>
        <w:pStyle w:val="Nadpis2"/>
      </w:pPr>
    </w:p>
    <w:p w:rsidR="00F44656" w:rsidRDefault="00F44656">
      <w:pPr>
        <w:spacing w:line="360" w:lineRule="auto"/>
        <w:rPr>
          <w:sz w:val="24"/>
        </w:rPr>
      </w:pPr>
    </w:p>
    <w:p w:rsidR="00F44656" w:rsidRDefault="00F44656">
      <w:pPr>
        <w:spacing w:line="360" w:lineRule="auto"/>
        <w:rPr>
          <w:sz w:val="24"/>
        </w:rPr>
      </w:pPr>
    </w:p>
    <w:p w:rsidR="00F44656" w:rsidRDefault="00F44656">
      <w:pPr>
        <w:spacing w:line="360" w:lineRule="auto"/>
        <w:rPr>
          <w:sz w:val="24"/>
        </w:rPr>
      </w:pPr>
    </w:p>
    <w:p w:rsidR="00F44656" w:rsidRDefault="00F44656">
      <w:pPr>
        <w:spacing w:line="360" w:lineRule="auto"/>
        <w:rPr>
          <w:sz w:val="24"/>
        </w:rPr>
      </w:pPr>
    </w:p>
    <w:p w:rsidR="00F44656" w:rsidRDefault="00F44656">
      <w:pPr>
        <w:spacing w:line="360" w:lineRule="auto"/>
        <w:rPr>
          <w:sz w:val="24"/>
        </w:rPr>
      </w:pPr>
    </w:p>
    <w:p w:rsidR="00F44656" w:rsidRDefault="00F44656">
      <w:pPr>
        <w:spacing w:line="360" w:lineRule="auto"/>
        <w:rPr>
          <w:sz w:val="24"/>
        </w:rPr>
      </w:pPr>
    </w:p>
    <w:p w:rsidR="00F44656" w:rsidRDefault="00F44656">
      <w:pPr>
        <w:spacing w:line="360" w:lineRule="auto"/>
        <w:rPr>
          <w:sz w:val="24"/>
        </w:rPr>
      </w:pPr>
    </w:p>
    <w:p w:rsidR="00F44656" w:rsidRDefault="00F44656">
      <w:pPr>
        <w:spacing w:line="360" w:lineRule="auto"/>
        <w:rPr>
          <w:sz w:val="24"/>
        </w:rPr>
      </w:pPr>
    </w:p>
    <w:p w:rsidR="00F44656" w:rsidRDefault="00F44656">
      <w:pPr>
        <w:spacing w:line="360" w:lineRule="auto"/>
        <w:rPr>
          <w:sz w:val="24"/>
        </w:rPr>
      </w:pPr>
    </w:p>
    <w:p w:rsidR="00F44656" w:rsidRDefault="00F44656">
      <w:pPr>
        <w:spacing w:line="360" w:lineRule="auto"/>
        <w:rPr>
          <w:sz w:val="24"/>
        </w:rPr>
      </w:pPr>
    </w:p>
    <w:p w:rsidR="00F44656" w:rsidRDefault="00F44656">
      <w:pPr>
        <w:spacing w:line="360" w:lineRule="auto"/>
        <w:rPr>
          <w:sz w:val="24"/>
        </w:rPr>
      </w:pPr>
    </w:p>
    <w:p w:rsidR="00F44656" w:rsidRDefault="00F44656">
      <w:pPr>
        <w:spacing w:line="360" w:lineRule="auto"/>
        <w:rPr>
          <w:sz w:val="24"/>
        </w:rPr>
      </w:pPr>
    </w:p>
    <w:p w:rsidR="00F44656" w:rsidRDefault="00F44656">
      <w:pPr>
        <w:spacing w:line="360" w:lineRule="auto"/>
        <w:rPr>
          <w:sz w:val="24"/>
        </w:rPr>
      </w:pPr>
    </w:p>
    <w:p w:rsidR="00F44656" w:rsidRDefault="00F44656">
      <w:pPr>
        <w:spacing w:line="360" w:lineRule="auto"/>
        <w:rPr>
          <w:sz w:val="24"/>
        </w:rPr>
      </w:pPr>
    </w:p>
    <w:p w:rsidR="00F44656" w:rsidRDefault="00F44656">
      <w:pPr>
        <w:spacing w:line="360" w:lineRule="auto"/>
        <w:rPr>
          <w:sz w:val="24"/>
        </w:rPr>
      </w:pPr>
    </w:p>
    <w:p w:rsidR="00F44656" w:rsidRDefault="00F44656">
      <w:pPr>
        <w:spacing w:line="360" w:lineRule="auto"/>
        <w:rPr>
          <w:sz w:val="24"/>
        </w:rPr>
      </w:pPr>
    </w:p>
    <w:p w:rsidR="00F44656" w:rsidRDefault="00F44656">
      <w:pPr>
        <w:spacing w:line="360" w:lineRule="auto"/>
        <w:rPr>
          <w:sz w:val="24"/>
        </w:rPr>
      </w:pPr>
    </w:p>
    <w:p w:rsidR="00F44656" w:rsidRDefault="00F44656">
      <w:pPr>
        <w:spacing w:line="360" w:lineRule="auto"/>
        <w:rPr>
          <w:sz w:val="24"/>
        </w:rPr>
      </w:pPr>
    </w:p>
    <w:p w:rsidR="00F44656" w:rsidRDefault="00F44656">
      <w:pPr>
        <w:spacing w:line="360" w:lineRule="auto"/>
        <w:rPr>
          <w:sz w:val="24"/>
        </w:rPr>
      </w:pPr>
    </w:p>
    <w:p w:rsidR="00F44656" w:rsidRDefault="00F44656">
      <w:pPr>
        <w:spacing w:line="360" w:lineRule="auto"/>
        <w:rPr>
          <w:sz w:val="24"/>
        </w:rPr>
      </w:pPr>
    </w:p>
    <w:p w:rsidR="00F44656" w:rsidRDefault="00F44656">
      <w:pPr>
        <w:spacing w:line="360" w:lineRule="auto"/>
        <w:rPr>
          <w:sz w:val="24"/>
        </w:rPr>
      </w:pPr>
    </w:p>
    <w:p w:rsidR="00F44656" w:rsidRDefault="00F44656">
      <w:pPr>
        <w:spacing w:line="360" w:lineRule="auto"/>
        <w:rPr>
          <w:sz w:val="24"/>
        </w:rPr>
      </w:pPr>
    </w:p>
    <w:p w:rsidR="00F44656" w:rsidRDefault="00F44656">
      <w:pPr>
        <w:spacing w:line="360" w:lineRule="auto"/>
        <w:rPr>
          <w:sz w:val="24"/>
        </w:rPr>
      </w:pPr>
    </w:p>
    <w:p w:rsidR="00F44656" w:rsidRDefault="00F44656">
      <w:pPr>
        <w:spacing w:line="360" w:lineRule="auto"/>
        <w:rPr>
          <w:sz w:val="24"/>
        </w:rPr>
      </w:pPr>
    </w:p>
    <w:p w:rsidR="00F44656" w:rsidRDefault="00F44656">
      <w:pPr>
        <w:spacing w:line="360" w:lineRule="auto"/>
        <w:rPr>
          <w:sz w:val="24"/>
        </w:rPr>
      </w:pPr>
    </w:p>
    <w:p w:rsidR="00F44656" w:rsidRDefault="00F44656">
      <w:pPr>
        <w:spacing w:line="360" w:lineRule="auto"/>
        <w:rPr>
          <w:sz w:val="24"/>
        </w:rPr>
      </w:pPr>
    </w:p>
    <w:p w:rsidR="00F44656" w:rsidRDefault="00F44656">
      <w:pPr>
        <w:spacing w:line="360" w:lineRule="auto"/>
        <w:rPr>
          <w:sz w:val="24"/>
        </w:rPr>
      </w:pPr>
    </w:p>
    <w:p w:rsidR="00F44656" w:rsidRDefault="00F44656">
      <w:pPr>
        <w:spacing w:line="360" w:lineRule="auto"/>
        <w:rPr>
          <w:sz w:val="24"/>
        </w:rPr>
      </w:pPr>
    </w:p>
    <w:p w:rsidR="00F44656" w:rsidRDefault="00F44656">
      <w:pPr>
        <w:spacing w:line="360" w:lineRule="auto"/>
        <w:rPr>
          <w:sz w:val="24"/>
        </w:rPr>
      </w:pPr>
    </w:p>
    <w:p w:rsidR="00F44656" w:rsidRDefault="00F44656">
      <w:pPr>
        <w:spacing w:line="360" w:lineRule="auto"/>
        <w:rPr>
          <w:sz w:val="24"/>
        </w:rPr>
      </w:pPr>
    </w:p>
    <w:p w:rsidR="00F44656" w:rsidRDefault="00F44656">
      <w:pPr>
        <w:spacing w:line="360" w:lineRule="auto"/>
        <w:rPr>
          <w:sz w:val="24"/>
        </w:rPr>
      </w:pPr>
    </w:p>
    <w:p w:rsidR="00F44656" w:rsidRDefault="00F44656">
      <w:pPr>
        <w:spacing w:line="360" w:lineRule="auto"/>
        <w:rPr>
          <w:sz w:val="24"/>
        </w:rPr>
      </w:pPr>
    </w:p>
    <w:p w:rsidR="00F44656" w:rsidRDefault="00F44656">
      <w:pPr>
        <w:spacing w:line="360" w:lineRule="auto"/>
        <w:rPr>
          <w:sz w:val="24"/>
        </w:rPr>
      </w:pPr>
    </w:p>
    <w:p w:rsidR="00F44656" w:rsidRDefault="00F44656">
      <w:pPr>
        <w:spacing w:line="360" w:lineRule="auto"/>
        <w:rPr>
          <w:sz w:val="24"/>
        </w:rPr>
      </w:pPr>
    </w:p>
    <w:sectPr w:rsidR="00F44656">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0BF" w:rsidRDefault="00C930BF">
      <w:r>
        <w:separator/>
      </w:r>
    </w:p>
  </w:endnote>
  <w:endnote w:type="continuationSeparator" w:id="0">
    <w:p w:rsidR="00C930BF" w:rsidRDefault="00C9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0BF" w:rsidRDefault="00C930BF">
      <w:r>
        <w:separator/>
      </w:r>
    </w:p>
  </w:footnote>
  <w:footnote w:type="continuationSeparator" w:id="0">
    <w:p w:rsidR="00C930BF" w:rsidRDefault="00C930BF">
      <w:r>
        <w:continuationSeparator/>
      </w:r>
    </w:p>
  </w:footnote>
  <w:footnote w:id="1">
    <w:p w:rsidR="00CD3A97" w:rsidRDefault="00CD3A97">
      <w:pPr>
        <w:pStyle w:val="Textpoznpodarou"/>
      </w:pPr>
      <w:r>
        <w:rPr>
          <w:rStyle w:val="Znakapoznpodarou"/>
        </w:rPr>
        <w:footnoteRef/>
      </w:r>
      <w:r>
        <w:t xml:space="preserve"> Pro posouzení osnov tzv. Rámcových vzdělávacích programů je důležité zejména stanovisko školy.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B1F3840"/>
    <w:multiLevelType w:val="hybridMultilevel"/>
    <w:tmpl w:val="3D7E68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24B"/>
    <w:rsid w:val="00047C53"/>
    <w:rsid w:val="001C233C"/>
    <w:rsid w:val="001F43EF"/>
    <w:rsid w:val="00236C6E"/>
    <w:rsid w:val="002566C5"/>
    <w:rsid w:val="00291691"/>
    <w:rsid w:val="0033304B"/>
    <w:rsid w:val="00355E99"/>
    <w:rsid w:val="00414CCF"/>
    <w:rsid w:val="004E1A9A"/>
    <w:rsid w:val="005E1F8F"/>
    <w:rsid w:val="006A080C"/>
    <w:rsid w:val="00774B14"/>
    <w:rsid w:val="007E5D09"/>
    <w:rsid w:val="008D724B"/>
    <w:rsid w:val="009B39D7"/>
    <w:rsid w:val="00A01CC1"/>
    <w:rsid w:val="00C00095"/>
    <w:rsid w:val="00C930BF"/>
    <w:rsid w:val="00CD3A97"/>
    <w:rsid w:val="00DF457C"/>
    <w:rsid w:val="00F44656"/>
    <w:rsid w:val="00FA1F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F6F9F"/>
  <w15:chartTrackingRefBased/>
  <w15:docId w15:val="{2F0239BB-1ED4-49CA-8B03-B86D26BD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qFormat/>
    <w:pPr>
      <w:keepNext/>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pPr>
      <w:spacing w:before="100" w:after="100"/>
    </w:pPr>
    <w:rPr>
      <w:sz w:val="24"/>
      <w:szCs w:val="24"/>
    </w:rPr>
  </w:style>
  <w:style w:type="character" w:styleId="Odkaznakoment">
    <w:name w:val="annotation reference"/>
    <w:basedOn w:val="Standardnpsmoodstavce"/>
    <w:semiHidden/>
    <w:rPr>
      <w:sz w:val="16"/>
      <w:szCs w:val="16"/>
    </w:rPr>
  </w:style>
  <w:style w:type="paragraph" w:styleId="Textkomente">
    <w:name w:val="annotation text"/>
    <w:basedOn w:val="Normln"/>
    <w:semiHidden/>
  </w:style>
  <w:style w:type="character" w:styleId="Hypertextovodkaz">
    <w:name w:val="Hyperlink"/>
    <w:basedOn w:val="Standardnpsmoodstavce"/>
    <w:rPr>
      <w:color w:val="0000FF"/>
      <w:u w:val="single"/>
    </w:rPr>
  </w:style>
  <w:style w:type="paragraph" w:styleId="Textbubliny">
    <w:name w:val="Balloon Text"/>
    <w:basedOn w:val="Normln"/>
    <w:semiHidden/>
    <w:rsid w:val="008D724B"/>
    <w:rPr>
      <w:rFonts w:ascii="Tahoma" w:hAnsi="Tahoma" w:cs="Tahoma"/>
      <w:sz w:val="16"/>
      <w:szCs w:val="16"/>
    </w:rPr>
  </w:style>
  <w:style w:type="paragraph" w:styleId="Textpoznpodarou">
    <w:name w:val="footnote text"/>
    <w:basedOn w:val="Normln"/>
    <w:semiHidden/>
    <w:rsid w:val="00CD3A97"/>
  </w:style>
  <w:style w:type="character" w:styleId="Znakapoznpodarou">
    <w:name w:val="footnote reference"/>
    <w:basedOn w:val="Standardnpsmoodstavce"/>
    <w:semiHidden/>
    <w:rsid w:val="00CD3A97"/>
    <w:rPr>
      <w:vertAlign w:val="superscript"/>
    </w:rPr>
  </w:style>
  <w:style w:type="paragraph" w:styleId="Odstavecseseznamem">
    <w:name w:val="List Paragraph"/>
    <w:basedOn w:val="Normln"/>
    <w:uiPriority w:val="34"/>
    <w:qFormat/>
    <w:rsid w:val="00236C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7"/>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9.0598290598290596E-2"/>
          <c:y val="4.6728971962616821E-2"/>
          <c:w val="0.82905982905982911"/>
          <c:h val="0.84423676012461057"/>
        </c:manualLayout>
      </c:layout>
      <c:bar3DChart>
        <c:barDir val="col"/>
        <c:grouping val="clustered"/>
        <c:varyColors val="0"/>
        <c:ser>
          <c:idx val="0"/>
          <c:order val="0"/>
          <c:tx>
            <c:strRef>
              <c:f>Sheet1!$A$2</c:f>
              <c:strCache>
                <c:ptCount val="1"/>
                <c:pt idx="0">
                  <c:v>T</c:v>
                </c:pt>
              </c:strCache>
            </c:strRef>
          </c:tx>
          <c:spPr>
            <a:solidFill>
              <a:srgbClr val="FFFFFF"/>
            </a:solidFill>
            <a:ln w="12700">
              <a:solidFill>
                <a:srgbClr val="000000"/>
              </a:solidFill>
              <a:prstDash val="solid"/>
            </a:ln>
          </c:spPr>
          <c:invertIfNegative val="0"/>
          <c:cat>
            <c:strRef>
              <c:f>Sheet1!$B$1:$G$1</c:f>
              <c:strCache>
                <c:ptCount val="6"/>
                <c:pt idx="0">
                  <c:v>Fortuna</c:v>
                </c:pt>
                <c:pt idx="1">
                  <c:v>Jinan</c:v>
                </c:pt>
                <c:pt idx="2">
                  <c:v>Nová škola</c:v>
                </c:pt>
                <c:pt idx="3">
                  <c:v>Prodos</c:v>
                </c:pt>
                <c:pt idx="4">
                  <c:v>Scientia</c:v>
                </c:pt>
                <c:pt idx="5">
                  <c:v>SPN</c:v>
                </c:pt>
              </c:strCache>
            </c:strRef>
          </c:cat>
          <c:val>
            <c:numRef>
              <c:f>Sheet1!$B$2:$G$2</c:f>
              <c:numCache>
                <c:formatCode>General</c:formatCode>
                <c:ptCount val="6"/>
                <c:pt idx="0">
                  <c:v>32.07</c:v>
                </c:pt>
                <c:pt idx="1">
                  <c:v>30.65</c:v>
                </c:pt>
                <c:pt idx="2">
                  <c:v>30.85</c:v>
                </c:pt>
                <c:pt idx="3">
                  <c:v>38.69</c:v>
                </c:pt>
                <c:pt idx="4">
                  <c:v>28.91</c:v>
                </c:pt>
                <c:pt idx="5">
                  <c:v>31.51</c:v>
                </c:pt>
              </c:numCache>
            </c:numRef>
          </c:val>
          <c:extLst>
            <c:ext xmlns:c16="http://schemas.microsoft.com/office/drawing/2014/chart" uri="{C3380CC4-5D6E-409C-BE32-E72D297353CC}">
              <c16:uniqueId val="{00000000-1F86-4F45-998F-9D4586A8F1C8}"/>
            </c:ext>
          </c:extLst>
        </c:ser>
        <c:ser>
          <c:idx val="1"/>
          <c:order val="1"/>
          <c:tx>
            <c:strRef>
              <c:f>Sheet1!$A$3</c:f>
              <c:strCache>
                <c:ptCount val="1"/>
                <c:pt idx="0">
                  <c:v>Ts</c:v>
                </c:pt>
              </c:strCache>
            </c:strRef>
          </c:tx>
          <c:spPr>
            <a:solidFill>
              <a:srgbClr val="000000"/>
            </a:solidFill>
            <a:ln w="12700">
              <a:solidFill>
                <a:srgbClr val="000000"/>
              </a:solidFill>
              <a:prstDash val="solid"/>
            </a:ln>
          </c:spPr>
          <c:invertIfNegative val="0"/>
          <c:cat>
            <c:strRef>
              <c:f>Sheet1!$B$1:$G$1</c:f>
              <c:strCache>
                <c:ptCount val="6"/>
                <c:pt idx="0">
                  <c:v>Fortuna</c:v>
                </c:pt>
                <c:pt idx="1">
                  <c:v>Jinan</c:v>
                </c:pt>
                <c:pt idx="2">
                  <c:v>Nová škola</c:v>
                </c:pt>
                <c:pt idx="3">
                  <c:v>Prodos</c:v>
                </c:pt>
                <c:pt idx="4">
                  <c:v>Scientia</c:v>
                </c:pt>
                <c:pt idx="5">
                  <c:v>SPN</c:v>
                </c:pt>
              </c:strCache>
            </c:strRef>
          </c:cat>
          <c:val>
            <c:numRef>
              <c:f>Sheet1!$B$3:$G$3</c:f>
              <c:numCache>
                <c:formatCode>General</c:formatCode>
                <c:ptCount val="6"/>
                <c:pt idx="0">
                  <c:v>7.86</c:v>
                </c:pt>
                <c:pt idx="1">
                  <c:v>9.77</c:v>
                </c:pt>
                <c:pt idx="2">
                  <c:v>5.47</c:v>
                </c:pt>
                <c:pt idx="3">
                  <c:v>7.63</c:v>
                </c:pt>
                <c:pt idx="4">
                  <c:v>10.119999999999999</c:v>
                </c:pt>
                <c:pt idx="5">
                  <c:v>6.66</c:v>
                </c:pt>
              </c:numCache>
            </c:numRef>
          </c:val>
          <c:extLst>
            <c:ext xmlns:c16="http://schemas.microsoft.com/office/drawing/2014/chart" uri="{C3380CC4-5D6E-409C-BE32-E72D297353CC}">
              <c16:uniqueId val="{00000001-1F86-4F45-998F-9D4586A8F1C8}"/>
            </c:ext>
          </c:extLst>
        </c:ser>
        <c:ser>
          <c:idx val="2"/>
          <c:order val="2"/>
          <c:tx>
            <c:strRef>
              <c:f>Sheet1!$A$4</c:f>
              <c:strCache>
                <c:ptCount val="1"/>
                <c:pt idx="0">
                  <c:v>Tp</c:v>
                </c:pt>
              </c:strCache>
            </c:strRef>
          </c:tx>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cat>
            <c:strRef>
              <c:f>Sheet1!$B$1:$G$1</c:f>
              <c:strCache>
                <c:ptCount val="6"/>
                <c:pt idx="0">
                  <c:v>Fortuna</c:v>
                </c:pt>
                <c:pt idx="1">
                  <c:v>Jinan</c:v>
                </c:pt>
                <c:pt idx="2">
                  <c:v>Nová škola</c:v>
                </c:pt>
                <c:pt idx="3">
                  <c:v>Prodos</c:v>
                </c:pt>
                <c:pt idx="4">
                  <c:v>Scientia</c:v>
                </c:pt>
                <c:pt idx="5">
                  <c:v>SPN</c:v>
                </c:pt>
              </c:strCache>
            </c:strRef>
          </c:cat>
          <c:val>
            <c:numRef>
              <c:f>Sheet1!$B$4:$G$4</c:f>
              <c:numCache>
                <c:formatCode>General</c:formatCode>
                <c:ptCount val="6"/>
                <c:pt idx="0">
                  <c:v>24.21</c:v>
                </c:pt>
                <c:pt idx="1">
                  <c:v>20.88</c:v>
                </c:pt>
                <c:pt idx="2">
                  <c:v>25.38</c:v>
                </c:pt>
                <c:pt idx="3">
                  <c:v>31.06</c:v>
                </c:pt>
                <c:pt idx="4">
                  <c:v>18.79</c:v>
                </c:pt>
                <c:pt idx="5">
                  <c:v>24.85</c:v>
                </c:pt>
              </c:numCache>
            </c:numRef>
          </c:val>
          <c:extLst>
            <c:ext xmlns:c16="http://schemas.microsoft.com/office/drawing/2014/chart" uri="{C3380CC4-5D6E-409C-BE32-E72D297353CC}">
              <c16:uniqueId val="{00000002-1F86-4F45-998F-9D4586A8F1C8}"/>
            </c:ext>
          </c:extLst>
        </c:ser>
        <c:dLbls>
          <c:showLegendKey val="0"/>
          <c:showVal val="0"/>
          <c:showCatName val="0"/>
          <c:showSerName val="0"/>
          <c:showPercent val="0"/>
          <c:showBubbleSize val="0"/>
        </c:dLbls>
        <c:gapWidth val="150"/>
        <c:gapDepth val="0"/>
        <c:shape val="box"/>
        <c:axId val="1408818303"/>
        <c:axId val="1"/>
        <c:axId val="0"/>
      </c:bar3DChart>
      <c:catAx>
        <c:axId val="1408818303"/>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25" b="1" i="0" u="none" strike="noStrike" baseline="0">
                <a:solidFill>
                  <a:srgbClr val="000000"/>
                </a:solidFill>
                <a:latin typeface="Arial CE"/>
                <a:ea typeface="Arial CE"/>
                <a:cs typeface="Arial CE"/>
              </a:defRPr>
            </a:pPr>
            <a:endParaRPr lang="cs-CZ"/>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title>
          <c:tx>
            <c:rich>
              <a:bodyPr/>
              <a:lstStyle/>
              <a:p>
                <a:pPr>
                  <a:defRPr sz="825" b="1" i="0" u="none" strike="noStrike" baseline="0">
                    <a:solidFill>
                      <a:srgbClr val="000000"/>
                    </a:solidFill>
                    <a:latin typeface="Arial CE"/>
                    <a:ea typeface="Arial CE"/>
                    <a:cs typeface="Arial CE"/>
                  </a:defRPr>
                </a:pPr>
                <a:r>
                  <a:rPr lang="cs-CZ"/>
                  <a:t>body</a:t>
                </a:r>
              </a:p>
            </c:rich>
          </c:tx>
          <c:layout>
            <c:manualLayout>
              <c:xMode val="edge"/>
              <c:yMode val="edge"/>
              <c:x val="2.735042735042735E-2"/>
              <c:y val="4.6728971962616821E-2"/>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825" b="1" i="0" u="none" strike="noStrike" baseline="0">
                <a:solidFill>
                  <a:srgbClr val="000000"/>
                </a:solidFill>
                <a:latin typeface="Arial CE"/>
                <a:ea typeface="Arial CE"/>
                <a:cs typeface="Arial CE"/>
              </a:defRPr>
            </a:pPr>
            <a:endParaRPr lang="cs-CZ"/>
          </a:p>
        </c:txPr>
        <c:crossAx val="1408818303"/>
        <c:crosses val="autoZero"/>
        <c:crossBetween val="between"/>
      </c:valAx>
      <c:spPr>
        <a:noFill/>
        <a:ln w="25399">
          <a:noFill/>
        </a:ln>
      </c:spPr>
    </c:plotArea>
    <c:legend>
      <c:legendPos val="r"/>
      <c:layout>
        <c:manualLayout>
          <c:xMode val="edge"/>
          <c:yMode val="edge"/>
          <c:x val="0.93846153846153846"/>
          <c:y val="0.41121495327102803"/>
          <c:w val="5.4700854700854701E-2"/>
          <c:h val="0.18068535825545171"/>
        </c:manualLayout>
      </c:layout>
      <c:overlay val="0"/>
      <c:spPr>
        <a:noFill/>
        <a:ln w="3175">
          <a:solidFill>
            <a:srgbClr val="000000"/>
          </a:solidFill>
          <a:prstDash val="solid"/>
        </a:ln>
      </c:spPr>
      <c:txPr>
        <a:bodyPr/>
        <a:lstStyle/>
        <a:p>
          <a:pPr>
            <a:defRPr sz="755" b="1" i="0" u="none" strike="noStrike" baseline="0">
              <a:solidFill>
                <a:srgbClr val="000000"/>
              </a:solidFill>
              <a:latin typeface="Arial CE"/>
              <a:ea typeface="Arial CE"/>
              <a:cs typeface="Arial CE"/>
            </a:defRPr>
          </a:pPr>
          <a:endParaRPr lang="cs-CZ"/>
        </a:p>
      </c:txPr>
    </c:legend>
    <c:plotVisOnly val="1"/>
    <c:dispBlanksAs val="gap"/>
    <c:showDLblsOverMax val="0"/>
  </c:chart>
  <c:spPr>
    <a:solidFill>
      <a:srgbClr val="FFFFFF"/>
    </a:solidFill>
    <a:ln>
      <a:noFill/>
    </a:ln>
  </c:spPr>
  <c:txPr>
    <a:bodyPr/>
    <a:lstStyle/>
    <a:p>
      <a:pPr>
        <a:defRPr sz="1200" b="1" i="0" u="none" strike="noStrike" baseline="0">
          <a:solidFill>
            <a:srgbClr val="000000"/>
          </a:solidFill>
          <a:latin typeface="Arial CE"/>
          <a:ea typeface="Arial CE"/>
          <a:cs typeface="Arial CE"/>
        </a:defRPr>
      </a:pPr>
      <a:endParaRPr lang="cs-CZ"/>
    </a:p>
  </c:txPr>
  <c:externalData r:id="rId1">
    <c:autoUpdate val="0"/>
  </c:externalData>
</c:chartSpac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1628</TotalTime>
  <Pages>7</Pages>
  <Words>1471</Words>
  <Characters>8680</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zlin</vt:lpstr>
    </vt:vector>
  </TitlesOfParts>
  <Company>PdF UP Olomouc</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zlin</dc:title>
  <dc:subject/>
  <dc:creator>Hrabi</dc:creator>
  <cp:keywords/>
  <cp:lastModifiedBy>Jiří Rybička</cp:lastModifiedBy>
  <cp:revision>4</cp:revision>
  <cp:lastPrinted>2006-02-20T23:33:00Z</cp:lastPrinted>
  <dcterms:created xsi:type="dcterms:W3CDTF">2020-10-20T23:04:00Z</dcterms:created>
  <dcterms:modified xsi:type="dcterms:W3CDTF">2022-09-14T12:38:00Z</dcterms:modified>
</cp:coreProperties>
</file>